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0970FF">
      <w:pPr>
        <w:keepNext w:val="0"/>
        <w:keepLines w:val="0"/>
        <w:pageBreakBefore w:val="0"/>
        <w:widowControl/>
        <w:kinsoku/>
        <w:wordWrap/>
        <w:overflowPunct/>
        <w:topLinePunct w:val="0"/>
        <w:bidi w:val="0"/>
        <w:adjustRightInd/>
        <w:snapToGrid/>
        <w:spacing w:line="560" w:lineRule="exact"/>
        <w:jc w:val="center"/>
        <w:rPr>
          <w:rFonts w:ascii="方正小标宋简体" w:hAnsi="宋体" w:eastAsia="方正小标宋简体" w:cs="宋体"/>
          <w:color w:val="000000"/>
          <w:kern w:val="0"/>
          <w:sz w:val="44"/>
          <w:szCs w:val="44"/>
        </w:rPr>
      </w:pPr>
      <w:bookmarkStart w:id="0" w:name="OLE_LINK1"/>
      <w:r>
        <w:rPr>
          <w:rFonts w:hint="eastAsia" w:ascii="方正小标宋简体" w:hAnsi="宋体" w:eastAsia="方正小标宋简体" w:cs="宋体"/>
          <w:color w:val="000000"/>
          <w:kern w:val="0"/>
          <w:sz w:val="44"/>
          <w:szCs w:val="44"/>
        </w:rPr>
        <w:t>关于《池州市九华黄精产业发展促进条例》</w:t>
      </w:r>
    </w:p>
    <w:p w14:paraId="0D8B6A59">
      <w:pPr>
        <w:keepNext w:val="0"/>
        <w:keepLines w:val="0"/>
        <w:pageBreakBefore w:val="0"/>
        <w:widowControl/>
        <w:kinsoku/>
        <w:wordWrap/>
        <w:overflowPunct/>
        <w:topLinePunct w:val="0"/>
        <w:bidi w:val="0"/>
        <w:adjustRightInd/>
        <w:snapToGrid/>
        <w:spacing w:line="560" w:lineRule="exact"/>
        <w:jc w:val="center"/>
        <w:rPr>
          <w:rFonts w:ascii="仿宋_GB2312" w:hAnsi="仿宋" w:eastAsia="仿宋_GB2312" w:cs="仿宋"/>
          <w:color w:val="000000"/>
          <w:kern w:val="0"/>
          <w:sz w:val="44"/>
          <w:szCs w:val="44"/>
        </w:rPr>
      </w:pPr>
      <w:r>
        <w:rPr>
          <w:rFonts w:hint="eastAsia" w:ascii="方正小标宋简体" w:hAnsi="宋体" w:eastAsia="方正小标宋简体" w:cs="宋体"/>
          <w:color w:val="000000"/>
          <w:kern w:val="0"/>
          <w:sz w:val="44"/>
          <w:szCs w:val="44"/>
        </w:rPr>
        <w:t>（</w:t>
      </w:r>
      <w:r>
        <w:rPr>
          <w:rFonts w:hint="eastAsia" w:ascii="方正小标宋简体" w:hAnsi="宋体" w:eastAsia="方正小标宋简体" w:cs="宋体"/>
          <w:color w:val="000000"/>
          <w:kern w:val="0"/>
          <w:sz w:val="44"/>
          <w:szCs w:val="44"/>
          <w:lang w:val="en-US" w:eastAsia="zh-CN"/>
        </w:rPr>
        <w:t>征求意见稿</w:t>
      </w:r>
      <w:r>
        <w:rPr>
          <w:rFonts w:hint="eastAsia" w:ascii="方正小标宋简体" w:hAnsi="宋体" w:eastAsia="方正小标宋简体" w:cs="宋体"/>
          <w:color w:val="000000"/>
          <w:kern w:val="0"/>
          <w:sz w:val="44"/>
          <w:szCs w:val="44"/>
        </w:rPr>
        <w:t>）起草说明</w:t>
      </w:r>
      <w:bookmarkEnd w:id="0"/>
    </w:p>
    <w:p w14:paraId="5B3A68BA">
      <w:pPr>
        <w:keepNext w:val="0"/>
        <w:keepLines w:val="0"/>
        <w:pageBreakBefore w:val="0"/>
        <w:kinsoku/>
        <w:wordWrap/>
        <w:overflowPunct/>
        <w:topLinePunct w:val="0"/>
        <w:bidi w:val="0"/>
        <w:adjustRightInd/>
        <w:snapToGrid/>
        <w:spacing w:line="560" w:lineRule="exact"/>
        <w:ind w:firstLine="560" w:firstLineChars="200"/>
        <w:rPr>
          <w:sz w:val="28"/>
          <w:szCs w:val="28"/>
        </w:rPr>
      </w:pPr>
    </w:p>
    <w:p w14:paraId="1CE704D7">
      <w:pPr>
        <w:keepNext w:val="0"/>
        <w:keepLines w:val="0"/>
        <w:pageBreakBefore w:val="0"/>
        <w:kinsoku/>
        <w:wordWrap/>
        <w:overflowPunct/>
        <w:topLinePunct w:val="0"/>
        <w:bidi w:val="0"/>
        <w:adjustRightInd/>
        <w:snapToGrid/>
        <w:spacing w:line="560" w:lineRule="exact"/>
        <w:ind w:firstLine="640" w:firstLineChars="200"/>
        <w:rPr>
          <w:rFonts w:hint="eastAsia" w:ascii="仿宋_GB2312" w:hAnsi="方正小标宋简体" w:eastAsia="仿宋_GB2312" w:cs="方正小标宋简体"/>
          <w:sz w:val="32"/>
          <w:szCs w:val="32"/>
        </w:rPr>
      </w:pPr>
      <w:r>
        <w:rPr>
          <w:rFonts w:hint="eastAsia" w:ascii="仿宋_GB2312" w:hAnsi="方正小标宋简体" w:eastAsia="仿宋_GB2312" w:cs="方正小标宋简体"/>
          <w:sz w:val="32"/>
          <w:szCs w:val="32"/>
        </w:rPr>
        <w:t>现就《池州市九华黄精产业发展促进条例（</w:t>
      </w:r>
      <w:r>
        <w:rPr>
          <w:rFonts w:hint="eastAsia" w:ascii="仿宋_GB2312" w:hAnsi="方正小标宋简体" w:eastAsia="仿宋_GB2312" w:cs="方正小标宋简体"/>
          <w:sz w:val="32"/>
          <w:szCs w:val="32"/>
          <w:lang w:val="en-US" w:eastAsia="zh-CN"/>
        </w:rPr>
        <w:t>征求意见稿</w:t>
      </w:r>
      <w:r>
        <w:rPr>
          <w:rFonts w:hint="eastAsia" w:ascii="仿宋_GB2312" w:hAnsi="方正小标宋简体" w:eastAsia="仿宋_GB2312" w:cs="方正小标宋简体"/>
          <w:sz w:val="32"/>
          <w:szCs w:val="32"/>
        </w:rPr>
        <w:t>）》（以下简称《条例》）起草及有关情况作如下说明。</w:t>
      </w:r>
    </w:p>
    <w:p w14:paraId="4DAC8C7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lang w:val="en-US" w:eastAsia="zh-CN"/>
        </w:rPr>
        <w:t>一、</w:t>
      </w:r>
      <w:r>
        <w:rPr>
          <w:rFonts w:hint="eastAsia" w:ascii="黑体" w:hAnsi="黑体" w:eastAsia="黑体" w:cs="黑体"/>
          <w:sz w:val="32"/>
          <w:szCs w:val="32"/>
        </w:rPr>
        <w:t>立法背景</w:t>
      </w:r>
    </w:p>
    <w:p w14:paraId="38C21D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baseline"/>
        <w:rPr>
          <w:rFonts w:hint="eastAsia" w:ascii="楷体_GB2312" w:hAnsi="Times New Roman" w:eastAsia="楷体_GB2312" w:cs="Times New Roman"/>
          <w:color w:val="000000"/>
          <w:sz w:val="32"/>
          <w:szCs w:val="32"/>
          <w:u w:color="000000"/>
        </w:rPr>
      </w:pPr>
      <w:r>
        <w:rPr>
          <w:rFonts w:hint="eastAsia" w:ascii="楷体_GB2312" w:hAnsi="Times New Roman" w:eastAsia="楷体_GB2312" w:cs="Times New Roman"/>
          <w:color w:val="000000"/>
          <w:sz w:val="32"/>
          <w:szCs w:val="32"/>
          <w:u w:color="000000"/>
        </w:rPr>
        <w:t>（一）制定《条例》的必要性</w:t>
      </w:r>
    </w:p>
    <w:p w14:paraId="72017519">
      <w:pPr>
        <w:keepNext w:val="0"/>
        <w:keepLines w:val="0"/>
        <w:pageBreakBefore w:val="0"/>
        <w:kinsoku/>
        <w:wordWrap/>
        <w:overflowPunct/>
        <w:topLinePunct w:val="0"/>
        <w:bidi w:val="0"/>
        <w:adjustRightInd/>
        <w:snapToGrid/>
        <w:spacing w:line="560" w:lineRule="exact"/>
        <w:ind w:firstLine="640" w:firstLineChars="200"/>
        <w:rPr>
          <w:rFonts w:hint="eastAsia" w:ascii="仿宋_GB2312" w:hAnsi="方正小标宋简体" w:eastAsia="仿宋_GB2312" w:cs="方正小标宋简体"/>
          <w:sz w:val="32"/>
          <w:szCs w:val="32"/>
        </w:rPr>
      </w:pPr>
      <w:r>
        <w:rPr>
          <w:rFonts w:hint="eastAsia" w:ascii="仿宋_GB2312" w:hAnsi="方正小标宋简体" w:eastAsia="仿宋_GB2312" w:cs="方正小标宋简体"/>
          <w:sz w:val="32"/>
          <w:szCs w:val="32"/>
        </w:rPr>
        <w:t>近年来，作为十大“皖药”之一的池州九华黄精产业发展迅速。市委市政府高度重视，着手制定了</w:t>
      </w:r>
      <w:bookmarkStart w:id="1" w:name="_Toc25358"/>
      <w:bookmarkStart w:id="2" w:name="_Toc4741"/>
      <w:bookmarkStart w:id="3" w:name="_Toc24521"/>
      <w:bookmarkStart w:id="4" w:name="_Toc157240440"/>
      <w:r>
        <w:rPr>
          <w:rFonts w:hint="eastAsia" w:ascii="仿宋_GB2312" w:hAnsi="方正小标宋简体" w:eastAsia="仿宋_GB2312" w:cs="方正小标宋简体"/>
          <w:sz w:val="32"/>
          <w:szCs w:val="32"/>
        </w:rPr>
        <w:t>《池州市九华黄精产业发展规划</w:t>
      </w:r>
      <w:bookmarkEnd w:id="1"/>
      <w:bookmarkEnd w:id="2"/>
      <w:bookmarkEnd w:id="3"/>
      <w:bookmarkEnd w:id="4"/>
      <w:r>
        <w:rPr>
          <w:rFonts w:hint="eastAsia" w:ascii="仿宋_GB2312" w:hAnsi="方正小标宋简体" w:eastAsia="仿宋_GB2312" w:cs="方正小标宋简体"/>
          <w:sz w:val="32"/>
          <w:szCs w:val="32"/>
        </w:rPr>
        <w:t>（2023--2030）》，大力推进池州市九华黄精产业快速发展。同时，为保障乡村振兴战略的有效贯彻实施，落实2018年中央一号文件提出的“强化乡村振兴法治保障，抓紧研究制定乡村振兴法的有关工作，把行之有效的乡村振兴政策法定化，充分发挥立法在乡村振兴中的保障和推动作用”的要求，市五届市人大常委会及时将制定池州九华黄精产业发展促进条例列入立法规划，推进将池州市促进九华黄精产业发展的政策导向尽快按立法方式和程序上升为地方法规。</w:t>
      </w:r>
    </w:p>
    <w:p w14:paraId="5019A951">
      <w:pPr>
        <w:pStyle w:val="3"/>
        <w:keepNext w:val="0"/>
        <w:keepLines w:val="0"/>
        <w:pageBreakBefore w:val="0"/>
        <w:widowControl w:val="0"/>
        <w:numPr>
          <w:ilvl w:val="0"/>
          <w:numId w:val="0"/>
        </w:numPr>
        <w:kinsoku/>
        <w:wordWrap/>
        <w:overflowPunct/>
        <w:topLinePunct w:val="0"/>
        <w:autoSpaceDE w:val="0"/>
        <w:autoSpaceDN w:val="0"/>
        <w:bidi w:val="0"/>
        <w:adjustRightInd/>
        <w:snapToGrid/>
        <w:spacing w:line="560" w:lineRule="exact"/>
        <w:ind w:firstLine="640" w:firstLineChars="200"/>
        <w:textAlignment w:val="auto"/>
        <w:rPr>
          <w:rFonts w:hint="eastAsia" w:ascii="楷体_GB2312" w:hAnsi="Times New Roman" w:eastAsia="楷体_GB2312" w:cs="Times New Roman"/>
          <w:color w:val="000000"/>
          <w:spacing w:val="0"/>
          <w:kern w:val="2"/>
          <w:sz w:val="32"/>
          <w:szCs w:val="32"/>
          <w:u w:color="000000"/>
          <w:lang w:val="en-US" w:eastAsia="zh-CN" w:bidi="ar-SA"/>
        </w:rPr>
      </w:pPr>
      <w:r>
        <w:rPr>
          <w:rFonts w:hint="eastAsia" w:ascii="楷体_GB2312" w:hAnsi="Times New Roman" w:eastAsia="楷体_GB2312" w:cs="Times New Roman"/>
          <w:color w:val="000000"/>
          <w:spacing w:val="0"/>
          <w:kern w:val="2"/>
          <w:sz w:val="32"/>
          <w:szCs w:val="32"/>
          <w:u w:color="000000"/>
          <w:lang w:val="en-US" w:eastAsia="zh-CN" w:bidi="ar-SA"/>
        </w:rPr>
        <w:t>（二）《条例》的主要依据</w:t>
      </w:r>
    </w:p>
    <w:p w14:paraId="6B73EF1D">
      <w:pPr>
        <w:pStyle w:val="6"/>
        <w:keepNext w:val="0"/>
        <w:keepLines w:val="0"/>
        <w:pageBreakBefore w:val="0"/>
        <w:kinsoku/>
        <w:wordWrap/>
        <w:overflowPunct/>
        <w:topLinePunct w:val="0"/>
        <w:bidi w:val="0"/>
        <w:adjustRightInd/>
        <w:snapToGrid/>
        <w:spacing w:beforeAutospacing="0" w:afterAutospacing="0" w:line="560" w:lineRule="exact"/>
        <w:ind w:firstLine="640" w:firstLineChars="200"/>
        <w:jc w:val="both"/>
        <w:rPr>
          <w:rFonts w:hint="eastAsia" w:ascii="仿宋_GB2312" w:hAnsi="方正小标宋简体" w:eastAsia="仿宋_GB2312" w:cs="方正小标宋简体"/>
          <w:kern w:val="2"/>
          <w:sz w:val="32"/>
          <w:szCs w:val="32"/>
          <w:lang w:val="en-US" w:eastAsia="zh-CN" w:bidi="ar-SA"/>
        </w:rPr>
      </w:pPr>
      <w:r>
        <w:rPr>
          <w:rFonts w:hint="eastAsia" w:ascii="仿宋_GB2312" w:hAnsi="方正小标宋简体" w:eastAsia="仿宋_GB2312" w:cs="方正小标宋简体"/>
          <w:kern w:val="2"/>
          <w:sz w:val="32"/>
          <w:szCs w:val="32"/>
          <w:lang w:val="en-US" w:eastAsia="zh-CN" w:bidi="ar-SA"/>
        </w:rPr>
        <w:t>本法不是延伸性立法，没有直接相关的上位法作依据；本法也是不规范型立法，条文内在逻辑不是强调主体权利与义务、行为与责任的平衡。促进型立法是一类新兴的社会本位的行政法，是行政管理立法的补充，是特定政策导向的法制化。</w:t>
      </w:r>
    </w:p>
    <w:p w14:paraId="04654C37">
      <w:pPr>
        <w:keepNext w:val="0"/>
        <w:keepLines w:val="0"/>
        <w:pageBreakBefore w:val="0"/>
        <w:kinsoku/>
        <w:wordWrap/>
        <w:overflowPunct/>
        <w:topLinePunct w:val="0"/>
        <w:bidi w:val="0"/>
        <w:adjustRightInd/>
        <w:snapToGrid/>
        <w:spacing w:line="560" w:lineRule="exact"/>
        <w:rPr>
          <w:sz w:val="28"/>
          <w:szCs w:val="28"/>
        </w:rPr>
      </w:pPr>
      <w:r>
        <w:rPr>
          <w:rFonts w:hint="eastAsia" w:ascii="仿宋_GB2312" w:hAnsi="方正小标宋简体" w:eastAsia="仿宋_GB2312" w:cs="方正小标宋简体"/>
          <w:kern w:val="2"/>
          <w:sz w:val="32"/>
          <w:szCs w:val="32"/>
          <w:lang w:val="en-US" w:eastAsia="zh-CN" w:bidi="ar-SA"/>
        </w:rPr>
        <w:t xml:space="preserve">    本法以《乡村振兴促进法》、《产品质量法》、《商标法》、《地理标志产品保护办法》、《反不正当竞争法》等作为有关条文的法律规范依据，以其他地方的相关情况立法为借鉴。作为我市地方特色的立法，本法具有原创性，主旨精神源自于《池州市九华黄精产业发展规划（2023--2030）》，对其中的地方政策导向和要求进行归纳，凝炼成相应的条文。</w:t>
      </w:r>
    </w:p>
    <w:p w14:paraId="58DF2B5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baseline"/>
        <w:rPr>
          <w:rFonts w:hint="eastAsia" w:ascii="楷体_GB2312" w:hAnsi="Times New Roman" w:eastAsia="楷体_GB2312" w:cs="Times New Roman"/>
          <w:color w:val="000000"/>
          <w:sz w:val="32"/>
          <w:szCs w:val="32"/>
          <w:u w:color="000000"/>
        </w:rPr>
      </w:pPr>
      <w:r>
        <w:rPr>
          <w:rFonts w:hint="eastAsia" w:ascii="楷体_GB2312" w:hAnsi="Times New Roman" w:eastAsia="楷体_GB2312" w:cs="Times New Roman"/>
          <w:color w:val="000000"/>
          <w:sz w:val="32"/>
          <w:szCs w:val="32"/>
          <w:u w:color="000000"/>
          <w:lang w:eastAsia="zh-CN"/>
        </w:rPr>
        <w:t>（</w:t>
      </w:r>
      <w:r>
        <w:rPr>
          <w:rFonts w:hint="eastAsia" w:ascii="楷体_GB2312" w:hAnsi="Times New Roman" w:eastAsia="楷体_GB2312" w:cs="Times New Roman"/>
          <w:color w:val="000000"/>
          <w:sz w:val="32"/>
          <w:szCs w:val="32"/>
          <w:u w:color="000000"/>
          <w:lang w:val="en-US" w:eastAsia="zh-CN"/>
        </w:rPr>
        <w:t>三</w:t>
      </w:r>
      <w:r>
        <w:rPr>
          <w:rFonts w:hint="eastAsia" w:ascii="楷体_GB2312" w:hAnsi="Times New Roman" w:eastAsia="楷体_GB2312" w:cs="Times New Roman"/>
          <w:color w:val="000000"/>
          <w:sz w:val="32"/>
          <w:szCs w:val="32"/>
          <w:u w:color="000000"/>
          <w:lang w:eastAsia="zh-CN"/>
        </w:rPr>
        <w:t>）</w:t>
      </w:r>
      <w:r>
        <w:rPr>
          <w:rFonts w:hint="eastAsia" w:ascii="楷体_GB2312" w:hAnsi="Times New Roman" w:eastAsia="楷体_GB2312" w:cs="Times New Roman"/>
          <w:color w:val="000000"/>
          <w:sz w:val="32"/>
          <w:szCs w:val="32"/>
          <w:u w:color="000000"/>
        </w:rPr>
        <w:t>《条例》的重要现实意义</w:t>
      </w:r>
    </w:p>
    <w:p w14:paraId="3F04096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方正小标宋简体" w:eastAsia="仿宋_GB2312" w:cs="方正小标宋简体"/>
          <w:kern w:val="2"/>
          <w:sz w:val="32"/>
          <w:szCs w:val="32"/>
          <w:lang w:val="en-US" w:eastAsia="zh-CN" w:bidi="ar-SA"/>
        </w:rPr>
      </w:pPr>
      <w:r>
        <w:rPr>
          <w:rFonts w:hint="eastAsia" w:ascii="仿宋_GB2312" w:hAnsi="方正小标宋简体" w:eastAsia="仿宋_GB2312" w:cs="方正小标宋简体"/>
          <w:kern w:val="2"/>
          <w:sz w:val="32"/>
          <w:szCs w:val="32"/>
          <w:lang w:val="en-US" w:eastAsia="zh-CN" w:bidi="ar-SA"/>
        </w:rPr>
        <w:t>党的十九大报告提出实施乡村振兴战略以来，党中央、国务院先后出台了关于实施乡村振兴战略的意见（2018年以来中央一号文件）和乡村振兴战略规划（2018-2022)等，我市也制定了九华黄精产业发展规划（2023--2030）。因此，本次起草九华精产业发展促进条例的着力点是，把党中央和省关于乡村振兴的重大决策部署，包括乡村产业振兴的任务、目标、要求和原则等，转化为法律规范，确保乡村产业振兴战略部署落实到具体的项目上。</w:t>
      </w:r>
    </w:p>
    <w:p w14:paraId="49A347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方正小标宋简体" w:eastAsia="仿宋_GB2312" w:cs="方正小标宋简体"/>
          <w:kern w:val="2"/>
          <w:sz w:val="32"/>
          <w:szCs w:val="32"/>
          <w:lang w:val="en-US" w:eastAsia="zh-CN" w:bidi="ar-SA"/>
        </w:rPr>
      </w:pPr>
      <w:r>
        <w:rPr>
          <w:rFonts w:hint="eastAsia" w:ascii="仿宋_GB2312" w:hAnsi="方正小标宋简体" w:eastAsia="仿宋_GB2312" w:cs="方正小标宋简体"/>
          <w:kern w:val="2"/>
          <w:sz w:val="32"/>
          <w:szCs w:val="32"/>
          <w:lang w:val="en-US" w:eastAsia="zh-CN" w:bidi="ar-SA"/>
        </w:rPr>
        <w:t>市人大积极推进落实党中央、国务院确定的推进乡村产业振兴的政策措施，特别是我市九华精产业发展的体制机制、政策措施，通过立法的形式确定下来，确保各地、各部门、各类市场经营主体持之以恒、久久为功促进九华黄精产业科学发展。</w:t>
      </w:r>
    </w:p>
    <w:p w14:paraId="7697B4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方正小标宋简体" w:eastAsia="仿宋_GB2312" w:cs="方正小标宋简体"/>
          <w:kern w:val="2"/>
          <w:sz w:val="32"/>
          <w:szCs w:val="32"/>
          <w:lang w:val="en-US" w:eastAsia="zh-CN" w:bidi="ar-SA"/>
        </w:rPr>
      </w:pPr>
      <w:r>
        <w:rPr>
          <w:rFonts w:hint="eastAsia" w:ascii="仿宋_GB2312" w:hAnsi="方正小标宋简体" w:eastAsia="仿宋_GB2312" w:cs="方正小标宋简体"/>
          <w:kern w:val="2"/>
          <w:sz w:val="32"/>
          <w:szCs w:val="32"/>
          <w:lang w:val="en-US" w:eastAsia="zh-CN" w:bidi="ar-SA"/>
        </w:rPr>
        <w:t>在起草过程中，注意总结了地方创造的实践证明行之有效、可复制可推广的九华黄精产业发展经验，上升为法律规范；同时认真研究、参考我国现行有效的其他促进类法律的立法经验，强化法律规范的可操作性，以期对我市九华黄精产业发展发挥更好的保障和促进作用。</w:t>
      </w:r>
    </w:p>
    <w:p w14:paraId="0267692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二、起草过程</w:t>
      </w:r>
    </w:p>
    <w:p w14:paraId="561818D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方正小标宋简体" w:eastAsia="仿宋_GB2312" w:cs="方正小标宋简体"/>
          <w:kern w:val="2"/>
          <w:sz w:val="32"/>
          <w:szCs w:val="32"/>
          <w:lang w:val="en-US" w:eastAsia="zh-CN" w:bidi="ar-SA"/>
        </w:rPr>
      </w:pPr>
      <w:r>
        <w:rPr>
          <w:rFonts w:hint="eastAsia" w:ascii="仿宋_GB2312" w:hAnsi="方正小标宋简体" w:eastAsia="仿宋_GB2312" w:cs="方正小标宋简体"/>
          <w:kern w:val="2"/>
          <w:sz w:val="32"/>
          <w:szCs w:val="32"/>
          <w:lang w:val="en-US" w:eastAsia="zh-CN" w:bidi="ar-SA"/>
        </w:rPr>
        <w:t>池州市农业与农村局接受创制条例草案的任务后，局党委高度重视，及时组织成立池州九华黄精产业发展促进条例起草领导小组和工作小组，抓紧开展起草工作，先后到辖区部分县（区）开展调研，深入听取地方政府、基层干部、骨干企业和农民群众的意见建议；广泛征求市人大代表、政府相关工作部门、有关研究机构和有关法律专家的意见。经过深入分析研究，认真吸纳各方面意见，反复修改完善，形成了《池州九华黄精产业发展促进条例（征求意见稿）》。</w:t>
      </w:r>
    </w:p>
    <w:p w14:paraId="7F75845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三、立法的指导思想和原则</w:t>
      </w:r>
    </w:p>
    <w:p w14:paraId="41EB3D6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起草池州九华黄精产业发展促进条例的</w:t>
      </w:r>
      <w:r>
        <w:rPr>
          <w:rFonts w:hint="eastAsia" w:ascii="仿宋_GB2312" w:hAnsi="仿宋_GB2312" w:eastAsia="仿宋_GB2312" w:cs="仿宋_GB2312"/>
          <w:b/>
          <w:bCs/>
          <w:sz w:val="32"/>
          <w:szCs w:val="32"/>
        </w:rPr>
        <w:t>指导思想</w:t>
      </w:r>
      <w:r>
        <w:rPr>
          <w:rFonts w:hint="eastAsia" w:ascii="仿宋_GB2312" w:hAnsi="仿宋_GB2312" w:eastAsia="仿宋_GB2312" w:cs="仿宋_GB2312"/>
          <w:sz w:val="32"/>
          <w:szCs w:val="32"/>
        </w:rPr>
        <w:t>是：</w:t>
      </w:r>
      <w:r>
        <w:rPr>
          <w:rFonts w:hint="eastAsia" w:ascii="仿宋_GB2312" w:hAnsi="仿宋_GB2312" w:eastAsia="仿宋_GB2312" w:cs="仿宋_GB2312"/>
          <w:sz w:val="32"/>
          <w:szCs w:val="32"/>
          <w:lang w:eastAsia="zh-CN"/>
        </w:rPr>
        <w:t>深入贯彻习近平新时代中国特色社会主义思想</w:t>
      </w:r>
      <w:r>
        <w:rPr>
          <w:rFonts w:hint="eastAsia" w:ascii="仿宋_GB2312" w:hAnsi="仿宋_GB2312" w:eastAsia="仿宋_GB2312" w:cs="仿宋_GB2312"/>
          <w:sz w:val="32"/>
          <w:szCs w:val="32"/>
        </w:rPr>
        <w:t>，深入贯彻党的二十大和二十届二中、三中全会精神，贯彻新发展理念，紧紧围绕统筹推进“五位一体”总体布局和协调推进“四个全面”战略布局要求，坚持农业农村优先发展，为加快推进九华黄精产业现代化，走池州地方特色的产业振兴道路提供有力的法治保障。</w:t>
      </w:r>
    </w:p>
    <w:p w14:paraId="24312F4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起草工作遵循以下</w:t>
      </w:r>
      <w:r>
        <w:rPr>
          <w:rFonts w:hint="eastAsia" w:ascii="仿宋_GB2312" w:hAnsi="仿宋_GB2312" w:eastAsia="仿宋_GB2312" w:cs="仿宋_GB2312"/>
          <w:b/>
          <w:bCs/>
          <w:sz w:val="32"/>
          <w:szCs w:val="32"/>
        </w:rPr>
        <w:t>基本原则</w:t>
      </w:r>
      <w:r>
        <w:rPr>
          <w:rFonts w:hint="eastAsia" w:ascii="仿宋_GB2312" w:hAnsi="仿宋_GB2312" w:eastAsia="仿宋_GB2312" w:cs="仿宋_GB2312"/>
          <w:sz w:val="32"/>
          <w:szCs w:val="32"/>
        </w:rPr>
        <w:t>：一是坚持和加强党对农村农业工作的领导，确保党在农村农业工作中始终总揽全局、协调各方，为乡村产业振兴提供坚强有力的政治保障；二是坚持扶持农业农村优先发展，立足于发挥产业发展在乡村振兴中的强大作用，从法律制度上促进实现九华精产业和本市农业农村融合发展、科学发展；三是坚持问题导向，着重针对九华精产业发展面临的薄弱环节和突出问题，做好顶层设计，明确政府职责，完善体制机制、政策体系规范、健全制度和保障措施；四是坚持实事求是、因地制宜、尊重规律，充分考虑我市不同地区九华黄精产业发展的差异和现阶段整体特征，注重法律制度的强制性和规范性，同时为分层次分阶段、因地制宜促进九华精产业发展留下空间；五是坚持立足市情，从我市九华黄精产业发展实际出发，适当参考借鉴域外黄精产业和其他特色种植产品产业发展的有益经验，建立健全促进地方特色乡村产业发展的法律制度。</w:t>
      </w:r>
    </w:p>
    <w:p w14:paraId="1546CA9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四、主要内容</w:t>
      </w:r>
    </w:p>
    <w:p w14:paraId="5C57F98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《条例》分为七章，依次为总则、种植与加工、质量与监管、品牌与宣传、服务与扶持、法律责任、附则，共四十五条。</w:t>
      </w:r>
    </w:p>
    <w:p w14:paraId="6575AFBB">
      <w:pPr>
        <w:keepNext w:val="0"/>
        <w:keepLines w:val="0"/>
        <w:pageBreakBefore w:val="0"/>
        <w:kinsoku/>
        <w:wordWrap/>
        <w:overflowPunct/>
        <w:topLinePunct w:val="0"/>
        <w:bidi w:val="0"/>
        <w:adjustRightInd/>
        <w:snapToGrid/>
        <w:spacing w:line="560" w:lineRule="exact"/>
        <w:ind w:firstLine="640" w:firstLineChars="200"/>
        <w:rPr>
          <w:rFonts w:hint="eastAsia" w:ascii="楷体_GB2312" w:hAnsi="Times New Roman" w:eastAsia="楷体_GB2312" w:cs="Times New Roman"/>
          <w:color w:val="000000"/>
          <w:spacing w:val="0"/>
          <w:kern w:val="2"/>
          <w:sz w:val="32"/>
          <w:szCs w:val="32"/>
          <w:u w:color="000000"/>
          <w:lang w:val="en-US" w:eastAsia="zh-CN" w:bidi="ar-SA"/>
        </w:rPr>
      </w:pPr>
      <w:r>
        <w:rPr>
          <w:rFonts w:hint="eastAsia" w:ascii="楷体_GB2312" w:hAnsi="Times New Roman" w:eastAsia="楷体_GB2312" w:cs="Times New Roman"/>
          <w:color w:val="000000"/>
          <w:spacing w:val="0"/>
          <w:kern w:val="2"/>
          <w:sz w:val="32"/>
          <w:szCs w:val="32"/>
          <w:u w:color="000000"/>
          <w:lang w:val="en-US" w:eastAsia="zh-CN" w:bidi="ar-SA"/>
        </w:rPr>
        <w:t>（一）关于调整对象和适用范围</w:t>
      </w:r>
    </w:p>
    <w:p w14:paraId="665A9AB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如何确定本法的调整对象，特别是九华黄精的范围，起草过程中有不同看法，不仅学术理论界与实务部门对九华黄精的概念存在不同认识，而且不同的市场主体对九华黄精的界定也有差别，例如，外地黄精来池加工是否属于九华黄精的范围、是否适用本法。考虑到本法属于促进法，法律的适用范围可为各县（区）从当地实际情况和工作需要出发保留一定尺度。为此，统筹考虑法律规范的统一性和各县（区）发展的不同情况，参照池州市九华黄精产业发展规划（2023--2030）的界定，草案在附则中专条规定，九华黄精的外延放宽到凡在池州市种植、加工、销售的，均包括在内，凡在池州市域内促进九华黄精产业发展的行为都适用本法。空间上包括池州城区以外具有自然、社会、经济特征和生产、生活、生态、文化等多重功能的地域综合体，包括乡（民族乡、镇）、村（含行政村、自然村）等。</w:t>
      </w:r>
    </w:p>
    <w:p w14:paraId="0CBB92E9">
      <w:pPr>
        <w:keepNext w:val="0"/>
        <w:keepLines w:val="0"/>
        <w:pageBreakBefore w:val="0"/>
        <w:kinsoku/>
        <w:wordWrap/>
        <w:overflowPunct/>
        <w:topLinePunct w:val="0"/>
        <w:bidi w:val="0"/>
        <w:adjustRightInd/>
        <w:snapToGrid/>
        <w:spacing w:line="560" w:lineRule="exact"/>
        <w:ind w:firstLine="640" w:firstLineChars="200"/>
        <w:rPr>
          <w:rFonts w:hint="eastAsia" w:ascii="楷体_GB2312" w:hAnsi="Times New Roman" w:eastAsia="楷体_GB2312" w:cs="Times New Roman"/>
          <w:color w:val="000000"/>
          <w:spacing w:val="0"/>
          <w:kern w:val="2"/>
          <w:sz w:val="32"/>
          <w:szCs w:val="32"/>
          <w:u w:color="000000"/>
          <w:lang w:val="en-US" w:eastAsia="zh-CN" w:bidi="ar-SA"/>
        </w:rPr>
      </w:pPr>
      <w:r>
        <w:rPr>
          <w:rFonts w:hint="eastAsia" w:ascii="楷体_GB2312" w:hAnsi="Times New Roman" w:eastAsia="楷体_GB2312" w:cs="Times New Roman"/>
          <w:color w:val="000000"/>
          <w:spacing w:val="0"/>
          <w:kern w:val="2"/>
          <w:sz w:val="32"/>
          <w:szCs w:val="32"/>
          <w:u w:color="000000"/>
          <w:lang w:val="en-US" w:eastAsia="zh-CN" w:bidi="ar-SA"/>
        </w:rPr>
        <w:t>（二）关于总则</w:t>
      </w:r>
    </w:p>
    <w:p w14:paraId="0226F1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一章为总则，一共7条。先是明确了本法的立法目的、适用范围、基本原则，这是阐明本法的立法意义所在和价值取向。九华黄精产业发展虽然是市场主体行为，但离不开政府主导作用。随后关于政府职责、行业自治、产业规划和基础设施建设等相关规定，进一步明确地方政府在九华黄精产业发展中的基本角色和基本义务，也是明确九华黄精产业发展的基本秩序。</w:t>
      </w:r>
    </w:p>
    <w:p w14:paraId="5CA724DE">
      <w:pPr>
        <w:keepNext w:val="0"/>
        <w:keepLines w:val="0"/>
        <w:pageBreakBefore w:val="0"/>
        <w:kinsoku/>
        <w:wordWrap/>
        <w:overflowPunct/>
        <w:topLinePunct w:val="0"/>
        <w:bidi w:val="0"/>
        <w:adjustRightInd/>
        <w:snapToGrid/>
        <w:spacing w:line="560" w:lineRule="exact"/>
        <w:ind w:firstLine="640" w:firstLineChars="200"/>
        <w:rPr>
          <w:rFonts w:hint="eastAsia" w:ascii="楷体_GB2312" w:hAnsi="Times New Roman" w:eastAsia="楷体_GB2312" w:cs="Times New Roman"/>
          <w:color w:val="000000"/>
          <w:spacing w:val="0"/>
          <w:kern w:val="2"/>
          <w:sz w:val="32"/>
          <w:szCs w:val="32"/>
          <w:u w:color="000000"/>
          <w:lang w:val="en-US" w:eastAsia="zh-CN" w:bidi="ar-SA"/>
        </w:rPr>
      </w:pPr>
      <w:r>
        <w:rPr>
          <w:rFonts w:hint="eastAsia" w:ascii="楷体_GB2312" w:hAnsi="Times New Roman" w:eastAsia="楷体_GB2312" w:cs="Times New Roman"/>
          <w:color w:val="000000"/>
          <w:spacing w:val="0"/>
          <w:kern w:val="2"/>
          <w:sz w:val="32"/>
          <w:szCs w:val="32"/>
          <w:u w:color="000000"/>
          <w:lang w:val="en-US" w:eastAsia="zh-CN" w:bidi="ar-SA"/>
        </w:rPr>
        <w:t>（三）关于种植与加工</w:t>
      </w:r>
    </w:p>
    <w:p w14:paraId="0AC6AF1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章是种植与加工，一共是8条。这部分是讲九华黄精产业发展中市场主体最核心最基础性的行为方式及其规范。资源保护与品种选育、种苗管理、种植保护和生态保护是讲原植物品种培育和生态保护问题，这是原生态特色农产品之根本。九华黄精作为地理标志产品，得益于特定的种苗繁育和种植保护。现在池州黄精产业中有很大一部分原料来自于外了，这更突显了黄精种植这方面的基础工作更需要巩固和加强，这也是产品质量和声誉保持稳定的迫切需要。</w:t>
      </w:r>
    </w:p>
    <w:p w14:paraId="61A25D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而龙头企业培育、工艺改进、深加工研发和质量创新平台建设，是产业规模化发展、长远发展和可持续发展的后劲所在。地方政府应以战略眼光做好规划和指导工作，引导行业主体深耕发力，在产业链的关键环节不断取得突破，从而推进整个产业不断走上发展的新台阶。</w:t>
      </w:r>
    </w:p>
    <w:p w14:paraId="705F5BBD">
      <w:pPr>
        <w:keepNext w:val="0"/>
        <w:keepLines w:val="0"/>
        <w:pageBreakBefore w:val="0"/>
        <w:kinsoku/>
        <w:wordWrap/>
        <w:overflowPunct/>
        <w:topLinePunct w:val="0"/>
        <w:bidi w:val="0"/>
        <w:adjustRightInd/>
        <w:snapToGrid/>
        <w:spacing w:line="560" w:lineRule="exact"/>
        <w:ind w:firstLine="640" w:firstLineChars="200"/>
        <w:rPr>
          <w:rFonts w:hint="eastAsia" w:ascii="楷体_GB2312" w:hAnsi="Times New Roman" w:eastAsia="楷体_GB2312" w:cs="Times New Roman"/>
          <w:color w:val="000000"/>
          <w:spacing w:val="0"/>
          <w:kern w:val="2"/>
          <w:sz w:val="32"/>
          <w:szCs w:val="32"/>
          <w:u w:color="000000"/>
          <w:lang w:val="en-US" w:eastAsia="zh-CN" w:bidi="ar-SA"/>
        </w:rPr>
      </w:pPr>
      <w:r>
        <w:rPr>
          <w:rFonts w:hint="eastAsia" w:ascii="楷体_GB2312" w:hAnsi="Times New Roman" w:eastAsia="楷体_GB2312" w:cs="Times New Roman"/>
          <w:color w:val="000000"/>
          <w:spacing w:val="0"/>
          <w:kern w:val="2"/>
          <w:sz w:val="32"/>
          <w:szCs w:val="32"/>
          <w:u w:color="000000"/>
          <w:lang w:val="en-US" w:eastAsia="zh-CN" w:bidi="ar-SA"/>
        </w:rPr>
        <w:t>（四）关于质量与监管</w:t>
      </w:r>
    </w:p>
    <w:p w14:paraId="65376B2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章是质量与监管，一共是7条。本章内容主要涉及标准体系建设、质量体系、质保制度、信用体系、质量监管、特许商标保护、市场监管与违法查处等，这部分主要是规范九华黄精产业发展的基本秩序。产业发展要持续，更要科学、规范，谋利而不唯利。只有每一位主场主体的行为自觉自律，良好的主场秩序才能建立起来，这是产业长期良性发展的大环境。</w:t>
      </w:r>
    </w:p>
    <w:p w14:paraId="213BFAF6">
      <w:pPr>
        <w:keepNext w:val="0"/>
        <w:keepLines w:val="0"/>
        <w:pageBreakBefore w:val="0"/>
        <w:kinsoku/>
        <w:wordWrap/>
        <w:overflowPunct/>
        <w:topLinePunct w:val="0"/>
        <w:bidi w:val="0"/>
        <w:adjustRightInd/>
        <w:snapToGrid/>
        <w:spacing w:line="560" w:lineRule="exact"/>
        <w:ind w:firstLine="640" w:firstLineChars="200"/>
        <w:rPr>
          <w:rFonts w:hint="eastAsia" w:ascii="楷体_GB2312" w:hAnsi="Times New Roman" w:eastAsia="楷体_GB2312" w:cs="Times New Roman"/>
          <w:color w:val="000000"/>
          <w:spacing w:val="0"/>
          <w:kern w:val="2"/>
          <w:sz w:val="32"/>
          <w:szCs w:val="32"/>
          <w:u w:color="000000"/>
          <w:lang w:val="en-US" w:eastAsia="zh-CN" w:bidi="ar-SA"/>
        </w:rPr>
      </w:pPr>
      <w:r>
        <w:rPr>
          <w:rFonts w:hint="eastAsia" w:ascii="楷体_GB2312" w:hAnsi="Times New Roman" w:eastAsia="楷体_GB2312" w:cs="Times New Roman"/>
          <w:color w:val="000000"/>
          <w:spacing w:val="0"/>
          <w:kern w:val="2"/>
          <w:sz w:val="32"/>
          <w:szCs w:val="32"/>
          <w:u w:color="000000"/>
          <w:lang w:val="en-US" w:eastAsia="zh-CN" w:bidi="ar-SA"/>
        </w:rPr>
        <w:t>（五）适于品牌与宣传</w:t>
      </w:r>
    </w:p>
    <w:p w14:paraId="1837DE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四章是品牌与宣传，一共是5条。本章内容是关于九华黄精产业发展中的食药目录、产品宣传、品牌建设、文化宣传和文旅融合等事项。这是着重于从宏观层面推进提升九华黄精产业发展层次。产业大众化、产品高端化过程中，文化是最好的包装。地方政府最适合聚集社会力量和资源进行文化搭台，推进市场主体因势乘便，谋得更大的发展。</w:t>
      </w:r>
    </w:p>
    <w:p w14:paraId="40FA5547">
      <w:pPr>
        <w:keepNext w:val="0"/>
        <w:keepLines w:val="0"/>
        <w:pageBreakBefore w:val="0"/>
        <w:kinsoku/>
        <w:wordWrap/>
        <w:overflowPunct/>
        <w:topLinePunct w:val="0"/>
        <w:bidi w:val="0"/>
        <w:adjustRightInd/>
        <w:snapToGrid/>
        <w:spacing w:line="560" w:lineRule="exact"/>
        <w:ind w:firstLine="640" w:firstLineChars="200"/>
        <w:rPr>
          <w:rFonts w:hint="eastAsia" w:ascii="楷体_GB2312" w:hAnsi="Times New Roman" w:eastAsia="楷体_GB2312" w:cs="Times New Roman"/>
          <w:color w:val="000000"/>
          <w:spacing w:val="0"/>
          <w:kern w:val="2"/>
          <w:sz w:val="32"/>
          <w:szCs w:val="32"/>
          <w:u w:color="000000"/>
          <w:lang w:val="en-US" w:eastAsia="zh-CN" w:bidi="ar-SA"/>
        </w:rPr>
      </w:pPr>
      <w:r>
        <w:rPr>
          <w:rFonts w:hint="eastAsia" w:ascii="楷体_GB2312" w:hAnsi="Times New Roman" w:eastAsia="楷体_GB2312" w:cs="Times New Roman"/>
          <w:color w:val="000000"/>
          <w:spacing w:val="0"/>
          <w:kern w:val="2"/>
          <w:sz w:val="32"/>
          <w:szCs w:val="32"/>
          <w:u w:color="000000"/>
          <w:lang w:val="en-US" w:eastAsia="zh-CN" w:bidi="ar-SA"/>
        </w:rPr>
        <w:t>（六）关于服务与扶持</w:t>
      </w:r>
    </w:p>
    <w:p w14:paraId="13B6D87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五章是服务与扶持，一共是10条。在九华黄精产业发展战略中，要把党的十八大以来党中央持续加大扶农惠农兴农的政策汇集起来，以一系列切实有效措施，有力促进九华黄精产业营商环境显著改善。为此，草案专设服务与扶持措施一章，将党中央扶农惠农兴农政策上升为法律规范，分别就产销服务、储备物流建设、市场建设、人才建设、特色产品优惠政策、金融保障、风险防范和鼓励表彰等作出规定，从政策扶持上促进九华黄精产业发展。</w:t>
      </w:r>
    </w:p>
    <w:p w14:paraId="794461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立法调研和征求意见过程中，市场经营者普遍提出，扶持措施的规定应当明确、过硬一些。经与有关部门反复沟通研究，考虑到九华黄精产业发展振兴是一个长期过程，不同阶段可能需要对具体政策措施加以适当调整，而且，在财政、金融、营销、物流和业绩表彰等方面，依据法律规定和中央有关要求，不宜也难以对扶持措施作出非常具体的规定。因此，草案对服务与扶持措施作了较为明确的规定，能具体尽量具体，难以具体的作出原则规定。地方可以根据本地区实际情况，因地因时制定更具有针对性的扶持措施。</w:t>
      </w:r>
    </w:p>
    <w:p w14:paraId="0B4F21C9">
      <w:pPr>
        <w:keepNext w:val="0"/>
        <w:keepLines w:val="0"/>
        <w:pageBreakBefore w:val="0"/>
        <w:kinsoku/>
        <w:wordWrap/>
        <w:overflowPunct/>
        <w:topLinePunct w:val="0"/>
        <w:bidi w:val="0"/>
        <w:adjustRightInd/>
        <w:snapToGrid/>
        <w:spacing w:line="560" w:lineRule="exact"/>
        <w:ind w:firstLine="640" w:firstLineChars="200"/>
        <w:rPr>
          <w:rFonts w:hint="eastAsia" w:ascii="楷体_GB2312" w:hAnsi="Times New Roman" w:eastAsia="楷体_GB2312" w:cs="Times New Roman"/>
          <w:color w:val="000000"/>
          <w:spacing w:val="0"/>
          <w:kern w:val="2"/>
          <w:sz w:val="32"/>
          <w:szCs w:val="32"/>
          <w:u w:color="000000"/>
          <w:lang w:val="en-US" w:eastAsia="zh-CN" w:bidi="ar-SA"/>
        </w:rPr>
      </w:pPr>
      <w:r>
        <w:rPr>
          <w:rFonts w:hint="eastAsia" w:ascii="楷体_GB2312" w:hAnsi="Times New Roman" w:eastAsia="楷体_GB2312" w:cs="Times New Roman"/>
          <w:color w:val="000000"/>
          <w:spacing w:val="0"/>
          <w:kern w:val="2"/>
          <w:sz w:val="32"/>
          <w:szCs w:val="32"/>
          <w:u w:color="000000"/>
          <w:lang w:val="en-US" w:eastAsia="zh-CN" w:bidi="ar-SA"/>
        </w:rPr>
        <w:t>（七）关于法律责任</w:t>
      </w:r>
    </w:p>
    <w:p w14:paraId="442E07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确保九华黄精产业发展各项工作有效开展，守护好营商环境和产业发展大环境，草案设法律责任一章，本章一共有5条。重点涉及品种侵权法律责任、农药等投入品管理法律责任、商标侵权法律责任、资金管理法律责任和其他违法行为法律责任。这些是九华黄精特色产业发展中易发多发矛盾冲突的方面，地方当以重点关注。其他皆以国家相关行政法律法规为指引，至于市场主体有关维权与侵权纠纷的解决方式，皆秉持意思自治原则。</w:t>
      </w:r>
    </w:p>
    <w:p w14:paraId="5F7A3D3E">
      <w:pPr>
        <w:keepNext w:val="0"/>
        <w:keepLines w:val="0"/>
        <w:pageBreakBefore w:val="0"/>
        <w:kinsoku/>
        <w:wordWrap/>
        <w:overflowPunct/>
        <w:topLinePunct w:val="0"/>
        <w:bidi w:val="0"/>
        <w:adjustRightInd/>
        <w:snapToGrid/>
        <w:spacing w:line="560" w:lineRule="exact"/>
        <w:ind w:firstLine="640" w:firstLineChars="200"/>
        <w:rPr>
          <w:rFonts w:hint="eastAsia" w:ascii="楷体_GB2312" w:hAnsi="Times New Roman" w:eastAsia="楷体_GB2312" w:cs="Times New Roman"/>
          <w:color w:val="000000"/>
          <w:spacing w:val="0"/>
          <w:kern w:val="2"/>
          <w:sz w:val="32"/>
          <w:szCs w:val="32"/>
          <w:u w:color="000000"/>
          <w:lang w:val="en-US" w:eastAsia="zh-CN" w:bidi="ar-SA"/>
        </w:rPr>
      </w:pPr>
      <w:r>
        <w:rPr>
          <w:rFonts w:hint="eastAsia" w:ascii="楷体_GB2312" w:hAnsi="Times New Roman" w:eastAsia="楷体_GB2312" w:cs="Times New Roman"/>
          <w:color w:val="000000"/>
          <w:spacing w:val="0"/>
          <w:kern w:val="2"/>
          <w:sz w:val="32"/>
          <w:szCs w:val="32"/>
          <w:u w:color="000000"/>
          <w:lang w:val="en-US" w:eastAsia="zh-CN" w:bidi="ar-SA"/>
        </w:rPr>
        <w:t>五、本法与其他涉农法律的关系</w:t>
      </w:r>
    </w:p>
    <w:p w14:paraId="3EA609F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法作为促进法，着重点在促进，通过明晰促进九华黄精产业各类主体责任、建立健全地方法律制度和政策措施，促进九华黄精产业规模化发展、融合发展和可持续性发展，不取代涉及“三农”和医药方面的法规。本法是创始性立法，草案的条文突出九华黄精产业地方特点和发展规律性，与其他涉及中药材和“三农”的法规尽量不重复，确有必要的，作出衔接性规定；其他法律规定不完善的，作出补充性规定。同时，条文的表述也注意与其他涉及中药材和“三农”的法规协调一致。</w:t>
      </w:r>
    </w:p>
    <w:p w14:paraId="19B2028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3CE5676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池州市农业农村局</w:t>
      </w:r>
    </w:p>
    <w:p w14:paraId="6A6932A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sz w:val="24"/>
        </w:rPr>
      </w:pPr>
      <w:r>
        <w:rPr>
          <w:rFonts w:hint="eastAsia" w:ascii="仿宋_GB2312" w:hAnsi="仿宋_GB2312" w:eastAsia="仿宋_GB2312" w:cs="仿宋_GB2312"/>
          <w:sz w:val="32"/>
          <w:szCs w:val="32"/>
        </w:rPr>
        <w:t>2024年9月11日</w:t>
      </w:r>
      <w:bookmarkStart w:id="5" w:name="_GoBack"/>
      <w:bookmarkEnd w:id="5"/>
    </w:p>
    <w:sectPr>
      <w:footerReference r:id="rId3" w:type="default"/>
      <w:pgSz w:w="11906" w:h="16838"/>
      <w:pgMar w:top="1440" w:right="1416" w:bottom="1440" w:left="156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826EC">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EBC2D6">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6EBC2D6">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xYjg4MDEyMGRlYjEzMDM4MzdiMjVhN2U3ZWRkMzUifQ=="/>
  </w:docVars>
  <w:rsids>
    <w:rsidRoot w:val="79BF3A21"/>
    <w:rsid w:val="00940D20"/>
    <w:rsid w:val="009657D6"/>
    <w:rsid w:val="009D5798"/>
    <w:rsid w:val="02E35293"/>
    <w:rsid w:val="03D75B08"/>
    <w:rsid w:val="05856AD5"/>
    <w:rsid w:val="07591FC8"/>
    <w:rsid w:val="07BF29E1"/>
    <w:rsid w:val="08A92671"/>
    <w:rsid w:val="08BE37BB"/>
    <w:rsid w:val="08EC0C19"/>
    <w:rsid w:val="096A04BC"/>
    <w:rsid w:val="097E5D15"/>
    <w:rsid w:val="0A4F1460"/>
    <w:rsid w:val="0A79028B"/>
    <w:rsid w:val="0B131714"/>
    <w:rsid w:val="0C3B6140"/>
    <w:rsid w:val="0E7E2310"/>
    <w:rsid w:val="0EF303E9"/>
    <w:rsid w:val="0F087E2F"/>
    <w:rsid w:val="102D5D9F"/>
    <w:rsid w:val="15675CC7"/>
    <w:rsid w:val="18323B4F"/>
    <w:rsid w:val="1A2802F8"/>
    <w:rsid w:val="1AC20938"/>
    <w:rsid w:val="1B9118D8"/>
    <w:rsid w:val="1C061731"/>
    <w:rsid w:val="1D4F1A4B"/>
    <w:rsid w:val="1E8307FC"/>
    <w:rsid w:val="1F78690B"/>
    <w:rsid w:val="1F811DB1"/>
    <w:rsid w:val="212C5BFF"/>
    <w:rsid w:val="21F83110"/>
    <w:rsid w:val="22AB7B04"/>
    <w:rsid w:val="22B6520D"/>
    <w:rsid w:val="27390848"/>
    <w:rsid w:val="280F0449"/>
    <w:rsid w:val="28EC2844"/>
    <w:rsid w:val="291B4ED7"/>
    <w:rsid w:val="2A445ECF"/>
    <w:rsid w:val="2A750617"/>
    <w:rsid w:val="2BE60A39"/>
    <w:rsid w:val="2C994A91"/>
    <w:rsid w:val="2E3D5EF7"/>
    <w:rsid w:val="2F8C4439"/>
    <w:rsid w:val="33101F47"/>
    <w:rsid w:val="339E473B"/>
    <w:rsid w:val="33FE7DDA"/>
    <w:rsid w:val="34E24AFB"/>
    <w:rsid w:val="357E0CC8"/>
    <w:rsid w:val="381F1BC2"/>
    <w:rsid w:val="385E26EA"/>
    <w:rsid w:val="3AAB598F"/>
    <w:rsid w:val="3BDF50B4"/>
    <w:rsid w:val="408847A8"/>
    <w:rsid w:val="40CC31ED"/>
    <w:rsid w:val="41A87329"/>
    <w:rsid w:val="43323701"/>
    <w:rsid w:val="44751962"/>
    <w:rsid w:val="44B71B00"/>
    <w:rsid w:val="468E5695"/>
    <w:rsid w:val="47032DA7"/>
    <w:rsid w:val="483B47F6"/>
    <w:rsid w:val="484351B7"/>
    <w:rsid w:val="4A2A68D0"/>
    <w:rsid w:val="4E0062C6"/>
    <w:rsid w:val="4F5336EF"/>
    <w:rsid w:val="518965D2"/>
    <w:rsid w:val="533B7B39"/>
    <w:rsid w:val="53FC2D71"/>
    <w:rsid w:val="543C5B7E"/>
    <w:rsid w:val="555962BC"/>
    <w:rsid w:val="556E19E8"/>
    <w:rsid w:val="59CA3C2C"/>
    <w:rsid w:val="5C2A09B2"/>
    <w:rsid w:val="5C871960"/>
    <w:rsid w:val="5CB564CD"/>
    <w:rsid w:val="5D3970FE"/>
    <w:rsid w:val="5E39312E"/>
    <w:rsid w:val="60B92304"/>
    <w:rsid w:val="60D72C53"/>
    <w:rsid w:val="62514EEA"/>
    <w:rsid w:val="63894210"/>
    <w:rsid w:val="640D4ADE"/>
    <w:rsid w:val="66344CC4"/>
    <w:rsid w:val="67BF28F6"/>
    <w:rsid w:val="69A41DA4"/>
    <w:rsid w:val="6A941E18"/>
    <w:rsid w:val="6AD06BC8"/>
    <w:rsid w:val="6B6A614A"/>
    <w:rsid w:val="6B8359E9"/>
    <w:rsid w:val="6D4F320D"/>
    <w:rsid w:val="6E62361A"/>
    <w:rsid w:val="70B825D8"/>
    <w:rsid w:val="717464FF"/>
    <w:rsid w:val="734168B5"/>
    <w:rsid w:val="73B07597"/>
    <w:rsid w:val="7419338E"/>
    <w:rsid w:val="74E27C24"/>
    <w:rsid w:val="75742F72"/>
    <w:rsid w:val="75AD3D8E"/>
    <w:rsid w:val="774A385E"/>
    <w:rsid w:val="79BF3A21"/>
    <w:rsid w:val="7ADB314B"/>
    <w:rsid w:val="7B3260D0"/>
    <w:rsid w:val="7C7C095E"/>
    <w:rsid w:val="7CAB4D9F"/>
    <w:rsid w:val="7D9558DE"/>
    <w:rsid w:val="7E1C5F55"/>
    <w:rsid w:val="7EFE07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autoSpaceDE w:val="0"/>
      <w:autoSpaceDN w:val="0"/>
      <w:ind w:firstLine="624"/>
    </w:pPr>
    <w:rPr>
      <w:rFonts w:ascii="Calibri" w:hAnsi="Calibri" w:eastAsia="宋体" w:cs="Times New Roman"/>
      <w:spacing w:val="4"/>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Autospacing="1" w:afterAutospacing="1"/>
      <w:jc w:val="left"/>
    </w:pPr>
    <w:rPr>
      <w:rFonts w:cs="Times New Roman"/>
      <w:kern w:val="0"/>
      <w:sz w:val="24"/>
    </w:rPr>
  </w:style>
  <w:style w:type="character" w:styleId="9">
    <w:name w:val="page number"/>
    <w:basedOn w:val="8"/>
    <w:qFormat/>
    <w:uiPriority w:val="99"/>
    <w:rPr>
      <w:rFonts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3955</Words>
  <Characters>4011</Characters>
  <Lines>28</Lines>
  <Paragraphs>8</Paragraphs>
  <TotalTime>4</TotalTime>
  <ScaleCrop>false</ScaleCrop>
  <LinksUpToDate>false</LinksUpToDate>
  <CharactersWithSpaces>4015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2024-09-12T03:10:00Z</dcterms:created>
  <dc:creator>雷  公</dc:creator>
  <cp:lastModifiedBy>馒头馊了</cp:lastModifiedBy>
  <dcterms:modified xsi:type="dcterms:W3CDTF">2025-07-03T00:36:30Z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2E07647311C64134817E35581C094FF1_13</vt:lpwstr>
  </property>
  <property fmtid="{D5CDD505-2E9C-101B-9397-08002B2CF9AE}" pid="4" name="KSOTemplateDocerSaveRecord">
    <vt:lpwstr>eyJoZGlkIjoiZWYwYTVjNDA0ZjIwODhjODliZDgxMTJiMWIyNjBlYzgiLCJ1c2VySWQiOiIzOTI3Nzg3OTAifQ==</vt:lpwstr>
  </property>
</Properties>
</file>