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pPr w:leftFromText="180" w:rightFromText="180" w:vertAnchor="text" w:horzAnchor="margin" w:tblpX="2683" w:tblpY="578"/>
        <w:tblW w:w="6661"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61"/>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661" w:type="dxa"/>
          </w:tcPr>
          <w:p>
            <w:pPr>
              <w:pStyle w:val="17"/>
              <w:framePr w:w="0" w:hRule="auto" w:wrap="auto" w:vAnchor="margin" w:hAnchor="text" w:xAlign="left" w:yAlign="inline"/>
              <w:rPr>
                <w:sz w:val="28"/>
                <w:szCs w:val="28"/>
              </w:rPr>
            </w:pPr>
            <w:bookmarkStart w:id="0" w:name="_Hlk26473981"/>
            <w:bookmarkStart w:id="1" w:name="_Toc273205555"/>
            <w:bookmarkStart w:id="2" w:name="_Toc273208102"/>
            <w:r>
              <w:rPr>
                <w:sz w:val="21"/>
                <w:szCs w:val="21"/>
              </w:rPr>
              <w:t xml:space="preserve"> </w:t>
            </w:r>
          </w:p>
        </w:tc>
      </w:tr>
      <w:bookmarkEnd w:id="0"/>
    </w:tbl>
    <w:p>
      <w:pPr>
        <w:pStyle w:val="18"/>
        <w:pBdr>
          <w:top w:val="none" w:color="auto" w:sz="0" w:space="0"/>
          <w:left w:val="none" w:color="auto" w:sz="0" w:space="0"/>
          <w:bottom w:val="none" w:color="auto" w:sz="0" w:space="0"/>
          <w:right w:val="none" w:color="auto" w:sz="0" w:space="0"/>
        </w:pBdr>
        <w:rPr>
          <w:rFonts w:ascii="Times New Roman"/>
          <w:b/>
          <w:bCs/>
          <w:w w:val="100"/>
          <w:sz w:val="48"/>
          <w:szCs w:val="48"/>
        </w:rPr>
      </w:pPr>
      <w:r>
        <w:rPr>
          <w:rFonts w:hint="eastAsia" w:ascii="Times New Roman"/>
          <w:b/>
          <w:bCs/>
          <w:w w:val="100"/>
          <w:sz w:val="48"/>
          <w:szCs w:val="48"/>
          <w:lang w:eastAsia="zh-CN"/>
        </w:rPr>
        <w:t>团体</w:t>
      </w:r>
      <w:r>
        <w:rPr>
          <w:rFonts w:ascii="Times New Roman"/>
          <w:b/>
          <w:bCs/>
          <w:w w:val="100"/>
          <w:sz w:val="48"/>
          <w:szCs w:val="48"/>
        </w:rPr>
        <w:t>标准</w:t>
      </w:r>
    </w:p>
    <w:p>
      <w:pPr>
        <w:pStyle w:val="27"/>
        <w:jc w:val="center"/>
        <w:rPr>
          <w:rFonts w:ascii="Times New Roman" w:eastAsia="宋体"/>
        </w:rPr>
      </w:pPr>
      <w:r>
        <w:rPr>
          <w:rFonts w:hint="eastAsia" w:ascii="Times New Roman" w:eastAsia="宋体"/>
          <w:lang w:val="en-US" w:eastAsia="zh-CN"/>
        </w:rPr>
        <w:t xml:space="preserve">                                                       T</w:t>
      </w:r>
      <w:r>
        <w:rPr>
          <w:rFonts w:ascii="Times New Roman" w:eastAsia="宋体"/>
          <w:sz w:val="15"/>
          <w:szCs w:val="15"/>
        </w:rPr>
        <w:t xml:space="preserve"> </w:t>
      </w:r>
      <w:r>
        <w:rPr>
          <w:rFonts w:hint="eastAsia" w:ascii="Times New Roman" w:eastAsia="宋体"/>
          <w:lang w:val="en-US" w:eastAsia="zh-CN"/>
        </w:rPr>
        <w:t>/ CZGX001-2022</w:t>
      </w:r>
    </w:p>
    <w:p>
      <w:pPr>
        <w:rPr>
          <w:rFonts w:ascii="Times New Roman" w:hAnsi="Times New Roman"/>
          <w:kern w:val="0"/>
          <w:sz w:val="10"/>
          <w:szCs w:val="10"/>
        </w:rPr>
      </w:pPr>
      <w:r>
        <w:rPr>
          <w:rFonts w:ascii="Times New Roman" w:hAnsi="Times New Roman"/>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ng0mW2AAAAAwBAAAPAAAAAAAAAAEAIAAAACIAAABkcnMv&#10;ZG93bnJldi54bWxQSwECFAAUAAAACACHTuJAeCbvfcoBAABeAwAADgAAAAAAAAABACAAAAAnAQAA&#10;ZHJzL2Uyb0RvYy54bWxQSwUGAAAAAAYABgBZAQAAYwUAAAAA&#10;">
                <v:fill on="f" focussize="0,0"/>
                <v:stroke color="#000000" joinstyle="round"/>
                <v:imagedata o:title=""/>
                <o:lock v:ext="edit" aspectratio="f"/>
              </v:line>
            </w:pict>
          </mc:Fallback>
        </mc:AlternateContent>
      </w:r>
    </w:p>
    <w:p>
      <w:pPr>
        <w:pStyle w:val="18"/>
        <w:framePr w:w="9639" w:h="6976" w:hRule="exact" w:hSpace="0" w:vSpace="0" w:hAnchor="page" w:y="6408"/>
        <w:jc w:val="center"/>
        <w:rPr>
          <w:rFonts w:ascii="Times New Roman"/>
          <w:b w:val="0"/>
          <w:bCs w:val="0"/>
          <w:w w:val="100"/>
        </w:rPr>
      </w:pPr>
    </w:p>
    <w:p>
      <w:pPr>
        <w:pStyle w:val="28"/>
        <w:framePr w:h="6974" w:hRule="exact" w:x="1419" w:anchorLock="1"/>
        <w:rPr>
          <w:rFonts w:ascii="Times New Roman" w:hAnsi="Times New Roman" w:eastAsia="宋体"/>
        </w:rPr>
      </w:pPr>
      <w:r>
        <w:rPr>
          <w:rFonts w:hint="eastAsia" w:ascii="Times New Roman" w:hAnsi="Times New Roman" w:eastAsia="宋体"/>
          <w:b/>
          <w:sz w:val="32"/>
          <w:szCs w:val="32"/>
        </w:rPr>
        <w:t>鳜鱼苗种培育技术规范</w:t>
      </w:r>
    </w:p>
    <w:p>
      <w:pPr>
        <w:framePr w:w="9639" w:h="6974" w:hRule="exact" w:wrap="around" w:vAnchor="page" w:hAnchor="page" w:x="1419" w:y="6408" w:anchorLock="1"/>
        <w:ind w:left="-1418"/>
        <w:rPr>
          <w:rFonts w:ascii="Times New Roman" w:hAnsi="Times New Roman"/>
        </w:rPr>
      </w:pPr>
    </w:p>
    <w:p>
      <w:pPr>
        <w:pStyle w:val="21"/>
        <w:framePr w:w="9639" w:h="6974" w:hRule="exact" w:wrap="around" w:vAnchor="page" w:hAnchor="page" w:x="1419" w:y="6408" w:anchorLock="1"/>
        <w:textAlignment w:val="bottom"/>
        <w:rPr>
          <w:szCs w:val="28"/>
          <w:u w:val="single"/>
        </w:rPr>
      </w:pPr>
      <w:r>
        <w:rPr>
          <w:rStyle w:val="5"/>
          <w:szCs w:val="28"/>
        </w:rPr>
        <w:t>Technical manual of breeding</w:t>
      </w:r>
      <w:r>
        <w:rPr>
          <w:szCs w:val="28"/>
        </w:rPr>
        <w:t xml:space="preserve"> </w:t>
      </w:r>
      <w:r>
        <w:rPr>
          <w:rStyle w:val="5"/>
          <w:szCs w:val="28"/>
        </w:rPr>
        <w:t>for Mandarin fish larvae</w:t>
      </w:r>
    </w:p>
    <w:p>
      <w:pPr>
        <w:framePr w:w="9639" w:h="6974" w:hRule="exact" w:wrap="around" w:vAnchor="page" w:hAnchor="page" w:x="1419" w:y="6408" w:anchorLock="1"/>
        <w:spacing w:line="760" w:lineRule="exact"/>
        <w:ind w:left="-1418"/>
        <w:rPr>
          <w:rFonts w:ascii="Times New Roman" w:hAnsi="Times New Roman"/>
        </w:rPr>
      </w:pPr>
    </w:p>
    <w:p>
      <w:pPr>
        <w:pStyle w:val="21"/>
        <w:framePr w:w="9639" w:h="6974" w:hRule="exact" w:wrap="around" w:vAnchor="page" w:hAnchor="page" w:x="1419" w:y="6408" w:anchorLock="1"/>
        <w:textAlignment w:val="bottom"/>
        <w:rPr>
          <w:color w:val="FF0000"/>
          <w:szCs w:val="28"/>
        </w:rPr>
      </w:pPr>
    </w:p>
    <w:p>
      <w:pPr>
        <w:pStyle w:val="21"/>
        <w:framePr w:w="9639" w:h="6974" w:hRule="exact" w:wrap="around" w:vAnchor="page" w:hAnchor="page" w:x="1419" w:y="6408" w:anchorLock="1"/>
        <w:spacing w:before="180" w:line="240" w:lineRule="atLeast"/>
        <w:textAlignment w:val="bottom"/>
        <w:rPr>
          <w:sz w:val="21"/>
          <w:szCs w:val="28"/>
        </w:rPr>
      </w:pPr>
    </w:p>
    <w:p>
      <w:pPr>
        <w:pStyle w:val="24"/>
        <w:framePr w:y="14176"/>
        <w:rPr>
          <w:rFonts w:eastAsia="宋体"/>
        </w:rPr>
      </w:pPr>
      <w:r>
        <w:rPr>
          <w:rFonts w:eastAsia="宋体"/>
        </w:rPr>
        <w:fldChar w:fldCharType="begin">
          <w:ffData>
            <w:name w:val="PLSH_DATE_Y"/>
            <w:enabled/>
            <w:calcOnExit w:val="0"/>
            <w:textInput>
              <w:default w:val="XXXX"/>
              <w:maxLength w:val="4"/>
            </w:textInput>
          </w:ffData>
        </w:fldChar>
      </w:r>
      <w:bookmarkStart w:id="3" w:name="PLSH_DATE_Y"/>
      <w:r>
        <w:rPr>
          <w:rFonts w:eastAsia="宋体"/>
        </w:rPr>
        <w:instrText xml:space="preserve"> FORMTEXT </w:instrText>
      </w:r>
      <w:r>
        <w:rPr>
          <w:rFonts w:eastAsia="宋体"/>
        </w:rPr>
        <w:fldChar w:fldCharType="separate"/>
      </w:r>
      <w:r>
        <w:rPr>
          <w:rFonts w:eastAsia="宋体"/>
        </w:rPr>
        <w:t>XXXX</w:t>
      </w:r>
      <w:r>
        <w:rPr>
          <w:rFonts w:eastAsia="宋体"/>
        </w:rPr>
        <w:fldChar w:fldCharType="end"/>
      </w:r>
      <w:bookmarkEnd w:id="3"/>
      <w:r>
        <w:rPr>
          <w:rFonts w:eastAsia="宋体"/>
        </w:rPr>
        <w:t xml:space="preserve"> - </w:t>
      </w:r>
      <w:r>
        <w:rPr>
          <w:rFonts w:eastAsia="宋体"/>
        </w:rPr>
        <w:fldChar w:fldCharType="begin">
          <w:ffData>
            <w:name w:val="PLSH_DATE_M"/>
            <w:enabled/>
            <w:calcOnExit w:val="0"/>
            <w:textInput>
              <w:default w:val="XX"/>
              <w:maxLength w:val="2"/>
            </w:textInput>
          </w:ffData>
        </w:fldChar>
      </w:r>
      <w:bookmarkStart w:id="4" w:name="PLSH_DATE_M"/>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4"/>
      <w:r>
        <w:rPr>
          <w:rFonts w:eastAsia="宋体"/>
        </w:rPr>
        <w:t xml:space="preserve"> - </w:t>
      </w:r>
      <w:r>
        <w:rPr>
          <w:rFonts w:eastAsia="宋体"/>
        </w:rPr>
        <w:fldChar w:fldCharType="begin">
          <w:ffData>
            <w:name w:val="PLSH_DATE_D"/>
            <w:enabled/>
            <w:calcOnExit w:val="0"/>
            <w:textInput>
              <w:default w:val="XX"/>
              <w:maxLength w:val="2"/>
            </w:textInput>
          </w:ffData>
        </w:fldChar>
      </w:r>
      <w:bookmarkStart w:id="5" w:name="PLSH_DATE_D"/>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5"/>
      <w:r>
        <w:rPr>
          <w:rFonts w:eastAsia="宋体"/>
        </w:rPr>
        <w:t>发布</w:t>
      </w:r>
    </w:p>
    <w:p>
      <w:pPr>
        <w:pStyle w:val="25"/>
        <w:framePr w:y="14176"/>
        <w:rPr>
          <w:rFonts w:eastAsia="宋体"/>
        </w:rPr>
      </w:pPr>
      <w:r>
        <w:rPr>
          <w:rFonts w:eastAsia="宋体"/>
        </w:rPr>
        <w:fldChar w:fldCharType="begin">
          <w:ffData>
            <w:name w:val="CROT_DATE_Y"/>
            <w:enabled/>
            <w:calcOnExit w:val="0"/>
            <w:textInput>
              <w:default w:val="XXXX"/>
              <w:maxLength w:val="4"/>
            </w:textInput>
          </w:ffData>
        </w:fldChar>
      </w:r>
      <w:bookmarkStart w:id="6" w:name="CROT_DATE_Y"/>
      <w:r>
        <w:rPr>
          <w:rFonts w:eastAsia="宋体"/>
        </w:rPr>
        <w:instrText xml:space="preserve"> FORMTEXT </w:instrText>
      </w:r>
      <w:r>
        <w:rPr>
          <w:rFonts w:eastAsia="宋体"/>
        </w:rPr>
        <w:fldChar w:fldCharType="separate"/>
      </w:r>
      <w:r>
        <w:rPr>
          <w:rFonts w:eastAsia="宋体"/>
        </w:rPr>
        <w:t>XXXX</w:t>
      </w:r>
      <w:r>
        <w:rPr>
          <w:rFonts w:eastAsia="宋体"/>
        </w:rPr>
        <w:fldChar w:fldCharType="end"/>
      </w:r>
      <w:bookmarkEnd w:id="6"/>
      <w:r>
        <w:rPr>
          <w:rFonts w:eastAsia="宋体"/>
        </w:rPr>
        <w:t xml:space="preserve"> - </w:t>
      </w:r>
      <w:r>
        <w:rPr>
          <w:rFonts w:eastAsia="宋体"/>
        </w:rPr>
        <w:fldChar w:fldCharType="begin">
          <w:ffData>
            <w:name w:val="CROT_DATE_M"/>
            <w:enabled/>
            <w:calcOnExit w:val="0"/>
            <w:textInput>
              <w:default w:val="XX"/>
              <w:maxLength w:val="2"/>
            </w:textInput>
          </w:ffData>
        </w:fldChar>
      </w:r>
      <w:bookmarkStart w:id="7" w:name="CROT_DATE_M"/>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7"/>
      <w:r>
        <w:rPr>
          <w:rFonts w:eastAsia="宋体"/>
        </w:rPr>
        <w:t xml:space="preserve"> - </w:t>
      </w:r>
      <w:r>
        <w:rPr>
          <w:rFonts w:eastAsia="宋体"/>
        </w:rPr>
        <w:fldChar w:fldCharType="begin">
          <w:ffData>
            <w:name w:val="CROT_DATE_D"/>
            <w:enabled/>
            <w:calcOnExit w:val="0"/>
            <w:textInput>
              <w:default w:val="XX"/>
              <w:maxLength w:val="2"/>
            </w:textInput>
          </w:ffData>
        </w:fldChar>
      </w:r>
      <w:bookmarkStart w:id="8" w:name="CROT_DATE_D"/>
      <w:r>
        <w:rPr>
          <w:rFonts w:eastAsia="宋体"/>
        </w:rPr>
        <w:instrText xml:space="preserve"> FORMTEXT </w:instrText>
      </w:r>
      <w:r>
        <w:rPr>
          <w:rFonts w:eastAsia="宋体"/>
        </w:rPr>
        <w:fldChar w:fldCharType="separate"/>
      </w:r>
      <w:r>
        <w:rPr>
          <w:rFonts w:eastAsia="宋体"/>
        </w:rPr>
        <w:t>XX</w:t>
      </w:r>
      <w:r>
        <w:rPr>
          <w:rFonts w:eastAsia="宋体"/>
        </w:rPr>
        <w:fldChar w:fldCharType="end"/>
      </w:r>
      <w:bookmarkEnd w:id="8"/>
      <w:r>
        <w:rPr>
          <w:rFonts w:eastAsia="宋体"/>
        </w:rPr>
        <w:t>实施</w:t>
      </w:r>
    </w:p>
    <w:p>
      <w:pPr>
        <w:pStyle w:val="22"/>
        <w:framePr w:h="584" w:hRule="exact" w:hSpace="181" w:vSpace="181" w:y="15027"/>
        <w:rPr>
          <w:rFonts w:ascii="Times New Roman" w:eastAsia="宋体"/>
        </w:rPr>
      </w:pPr>
      <w:r>
        <w:rPr>
          <w:rFonts w:hint="eastAsia" w:ascii="Times New Roman" w:eastAsia="宋体"/>
          <w:b/>
          <w:bCs/>
          <w:w w:val="100"/>
          <w:sz w:val="28"/>
          <w:lang w:eastAsia="zh-CN"/>
        </w:rPr>
        <w:t>池州市鳜鱼产业协会</w:t>
      </w:r>
      <w:r>
        <w:rPr>
          <w:rFonts w:ascii="Times New Roman" w:eastAsia="宋体"/>
          <w:b/>
          <w:bCs/>
          <w:w w:val="100"/>
          <w:sz w:val="28"/>
        </w:rPr>
        <w:t>  </w:t>
      </w:r>
      <w:r>
        <w:rPr>
          <w:rStyle w:val="34"/>
          <w:rFonts w:ascii="Times New Roman" w:eastAsia="宋体"/>
          <w:b/>
          <w:bCs/>
        </w:rPr>
        <w:t>发布</w:t>
      </w:r>
      <w:r>
        <w:rPr>
          <w:rFonts w:ascii="Times New Roman" w:eastAsia="宋体"/>
          <w:w w:val="100"/>
          <w:sz w:val="28"/>
        </w:rPr>
        <w:t> </w:t>
      </w:r>
    </w:p>
    <w:p>
      <w:pPr>
        <w:rPr>
          <w:rFonts w:ascii="Times New Roman" w:hAnsi="Times New Roman"/>
          <w:sz w:val="28"/>
          <w:szCs w:val="28"/>
        </w:rPr>
        <w:sectPr>
          <w:headerReference r:id="rId4" w:type="first"/>
          <w:footerReference r:id="rId7" w:type="first"/>
          <w:headerReference r:id="rId3" w:type="default"/>
          <w:footerReference r:id="rId5" w:type="default"/>
          <w:footerReference r:id="rId6" w:type="even"/>
          <w:pgSz w:w="11906" w:h="16838"/>
          <w:pgMar w:top="-338" w:right="1134" w:bottom="1021" w:left="1134" w:header="0" w:footer="0" w:gutter="284"/>
          <w:cols w:space="425" w:num="1"/>
          <w:titlePg/>
          <w:docGrid w:linePitch="312" w:charSpace="0"/>
        </w:sectPr>
      </w:pPr>
      <w:r>
        <w:rPr>
          <w:rFonts w:ascii="Times New Roman" w:hAnsi="Times New Roman"/>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rMxz71wAAAA4BAAAPAAAAAAAAAAEAIAAAACIAAABkcnMvZG93&#10;bnJldi54bWxQSwECFAAUAAAACACHTuJAqt0+T8gBAABcAwAADgAAAAAAAAABACAAAAAmAQAAZHJz&#10;L2Uyb0RvYy54bWxQSwUGAAAAAAYABgBZAQAAYAUAAAAA&#10;">
                <v:fill on="f" focussize="0,0"/>
                <v:stroke color="#000000" joinstyle="round"/>
                <v:imagedata o:title=""/>
                <o:lock v:ext="edit" aspectratio="f"/>
                <w10:anchorlock/>
              </v:line>
            </w:pict>
          </mc:Fallback>
        </mc:AlternateContent>
      </w:r>
    </w:p>
    <w:p>
      <w:pPr>
        <w:pStyle w:val="19"/>
        <w:ind w:firstLine="420"/>
        <w:rPr>
          <w:rFonts w:ascii="Times New Roman"/>
        </w:rPr>
      </w:pPr>
      <w:r>
        <w:rPr>
          <w:rFonts w:ascii="Times New Roman"/>
        </w:rPr>
        <w:t>本文件按照GB/T 1.1—2020《标准化工作导则  第1部分：标准化文件的结构和起草规则》的规定起草。</w:t>
      </w:r>
    </w:p>
    <w:p>
      <w:pPr>
        <w:pStyle w:val="19"/>
        <w:ind w:firstLine="420"/>
        <w:rPr>
          <w:rFonts w:ascii="Times New Roman"/>
        </w:rPr>
      </w:pPr>
      <w:r>
        <w:rPr>
          <w:rFonts w:ascii="Times New Roman"/>
        </w:rPr>
        <w:t>请注意本文件的某些内容可能涉及专利。本文件的发布机构不承担识别专利的责任。</w:t>
      </w:r>
    </w:p>
    <w:p>
      <w:pPr>
        <w:pStyle w:val="19"/>
        <w:ind w:firstLine="420"/>
        <w:rPr>
          <w:rFonts w:ascii="Times New Roman"/>
        </w:rPr>
      </w:pPr>
      <w:r>
        <w:rPr>
          <w:rFonts w:ascii="Times New Roman"/>
        </w:rPr>
        <w:t>本文件由</w:t>
      </w:r>
      <w:r>
        <w:rPr>
          <w:rFonts w:hint="eastAsia" w:ascii="Times New Roman"/>
          <w:lang w:eastAsia="zh-CN"/>
        </w:rPr>
        <w:t>池州市鳜鱼产业协会</w:t>
      </w:r>
      <w:r>
        <w:rPr>
          <w:rFonts w:ascii="Times New Roman"/>
        </w:rPr>
        <w:t>提出</w:t>
      </w:r>
      <w:r>
        <w:rPr>
          <w:rFonts w:hint="eastAsia" w:ascii="Times New Roman"/>
          <w:lang w:eastAsia="zh-CN"/>
        </w:rPr>
        <w:t>，并归口</w:t>
      </w:r>
      <w:r>
        <w:rPr>
          <w:rFonts w:ascii="Times New Roman"/>
        </w:rPr>
        <w:t>。</w:t>
      </w:r>
    </w:p>
    <w:p>
      <w:pPr>
        <w:pStyle w:val="19"/>
        <w:ind w:firstLine="420"/>
        <w:rPr>
          <w:rFonts w:ascii="Times New Roman"/>
        </w:rPr>
      </w:pPr>
      <w:bookmarkStart w:id="13" w:name="_GoBack"/>
      <w:bookmarkEnd w:id="13"/>
      <w:r>
        <w:rPr>
          <w:rFonts w:ascii="Times New Roman"/>
        </w:rPr>
        <w:t>本文件起草单位：中国水产科学研究院珠江水产研究所</w:t>
      </w:r>
      <w:r>
        <w:rPr>
          <w:rFonts w:hint="eastAsia" w:ascii="Times New Roman"/>
          <w:lang w:eastAsia="zh-CN"/>
        </w:rPr>
        <w:t>、池州市水产技术推广中心、贵池区马衙街道水产站</w:t>
      </w:r>
      <w:r>
        <w:rPr>
          <w:rFonts w:ascii="Times New Roman"/>
        </w:rPr>
        <w:t>。</w:t>
      </w:r>
    </w:p>
    <w:p>
      <w:pPr>
        <w:pStyle w:val="19"/>
        <w:ind w:firstLine="420"/>
        <w:rPr>
          <w:rFonts w:hint="eastAsia" w:ascii="Times New Roman"/>
        </w:rPr>
      </w:pPr>
      <w:r>
        <w:rPr>
          <w:rFonts w:ascii="Times New Roman"/>
        </w:rPr>
        <w:t>本文件主要起草人：林强</w:t>
      </w:r>
      <w:r>
        <w:rPr>
          <w:rFonts w:hint="eastAsia" w:ascii="Times New Roman"/>
          <w:lang w:eastAsia="zh-CN"/>
        </w:rPr>
        <w:t>、纪根祥、荣家平、</w:t>
      </w:r>
      <w:r>
        <w:rPr>
          <w:rFonts w:ascii="Times New Roman"/>
        </w:rPr>
        <w:t>李宁求</w:t>
      </w:r>
      <w:r>
        <w:rPr>
          <w:rFonts w:hint="eastAsia" w:ascii="Times New Roman"/>
          <w:lang w:eastAsia="zh-CN"/>
        </w:rPr>
        <w:t>、</w:t>
      </w:r>
      <w:r>
        <w:rPr>
          <w:rFonts w:hint="eastAsia" w:ascii="Times New Roman"/>
        </w:rPr>
        <w:t>彭勇鳌</w:t>
      </w:r>
      <w:r>
        <w:rPr>
          <w:rFonts w:hint="eastAsia" w:ascii="Times New Roman"/>
          <w:lang w:eastAsia="zh-CN"/>
        </w:rPr>
        <w:t>、</w:t>
      </w:r>
      <w:r>
        <w:rPr>
          <w:rFonts w:ascii="Times New Roman"/>
        </w:rPr>
        <w:t>付小哲</w:t>
      </w:r>
      <w:r>
        <w:rPr>
          <w:rFonts w:hint="eastAsia" w:ascii="Times New Roman"/>
          <w:lang w:eastAsia="zh-CN"/>
        </w:rPr>
        <w:t>、</w:t>
      </w:r>
      <w:r>
        <w:rPr>
          <w:rFonts w:ascii="Times New Roman"/>
        </w:rPr>
        <w:t>罗霞</w:t>
      </w:r>
      <w:r>
        <w:rPr>
          <w:rFonts w:hint="eastAsia" w:ascii="Times New Roman"/>
          <w:lang w:eastAsia="zh-CN"/>
        </w:rPr>
        <w:t>、</w:t>
      </w:r>
      <w:r>
        <w:rPr>
          <w:rFonts w:ascii="Times New Roman"/>
        </w:rPr>
        <w:t>牛银杰</w:t>
      </w:r>
      <w:r>
        <w:rPr>
          <w:rFonts w:hint="eastAsia" w:ascii="Times New Roman"/>
          <w:lang w:eastAsia="zh-CN"/>
        </w:rPr>
        <w:t>、</w:t>
      </w:r>
      <w:r>
        <w:rPr>
          <w:rFonts w:ascii="Times New Roman"/>
        </w:rPr>
        <w:t>梁红茹</w:t>
      </w:r>
      <w:r>
        <w:rPr>
          <w:rFonts w:hint="eastAsia" w:ascii="Times New Roman"/>
          <w:lang w:eastAsia="zh-CN"/>
        </w:rPr>
        <w:t>、</w:t>
      </w:r>
      <w:r>
        <w:rPr>
          <w:rFonts w:ascii="Times New Roman"/>
        </w:rPr>
        <w:t>左绍志</w:t>
      </w:r>
      <w:r>
        <w:rPr>
          <w:rFonts w:hint="eastAsia" w:ascii="Times New Roman"/>
          <w:lang w:eastAsia="zh-CN"/>
        </w:rPr>
        <w:t>、</w:t>
      </w:r>
      <w:r>
        <w:rPr>
          <w:rFonts w:ascii="Times New Roman"/>
        </w:rPr>
        <w:t>刘礼辉</w:t>
      </w:r>
      <w:r>
        <w:rPr>
          <w:rFonts w:hint="eastAsia" w:ascii="Times New Roman"/>
          <w:lang w:eastAsia="zh-CN"/>
        </w:rPr>
        <w:t>、</w:t>
      </w:r>
      <w:r>
        <w:rPr>
          <w:rFonts w:ascii="Times New Roman"/>
        </w:rPr>
        <w:t>黄志斌</w:t>
      </w:r>
    </w:p>
    <w:p>
      <w:pPr>
        <w:pStyle w:val="19"/>
        <w:ind w:firstLine="420"/>
        <w:rPr>
          <w:rFonts w:ascii="Times New Roman"/>
        </w:rPr>
      </w:pPr>
    </w:p>
    <w:bookmarkEnd w:id="1"/>
    <w:bookmarkEnd w:id="2"/>
    <w:p>
      <w:pPr>
        <w:pStyle w:val="11"/>
        <w:snapToGrid w:val="0"/>
        <w:spacing w:line="360" w:lineRule="auto"/>
        <w:ind w:firstLine="480"/>
        <w:rPr>
          <w:rFonts w:ascii="Times New Roman"/>
          <w:color w:val="00FF00"/>
          <w:sz w:val="24"/>
          <w:szCs w:val="24"/>
        </w:rPr>
      </w:pPr>
    </w:p>
    <w:p>
      <w:pPr>
        <w:pStyle w:val="11"/>
        <w:snapToGrid w:val="0"/>
        <w:spacing w:line="360" w:lineRule="auto"/>
        <w:ind w:firstLine="480"/>
        <w:rPr>
          <w:rFonts w:hint="eastAsia"/>
          <w:sz w:val="24"/>
          <w:szCs w:val="24"/>
        </w:rPr>
      </w:pPr>
    </w:p>
    <w:p>
      <w:pPr>
        <w:widowControl/>
        <w:jc w:val="left"/>
        <w:rPr>
          <w:rFonts w:ascii="Times New Roman" w:hAnsi="Times New Roman" w:eastAsia="黑体"/>
          <w:kern w:val="0"/>
          <w:sz w:val="36"/>
          <w:szCs w:val="28"/>
        </w:rPr>
      </w:pPr>
      <w:r>
        <w:rPr>
          <w:rFonts w:ascii="Times New Roman"/>
          <w:sz w:val="36"/>
          <w:szCs w:val="28"/>
        </w:rPr>
        <w:br w:type="page"/>
      </w:r>
    </w:p>
    <w:p>
      <w:pPr>
        <w:pStyle w:val="14"/>
        <w:spacing w:line="360" w:lineRule="auto"/>
        <w:rPr>
          <w:rFonts w:ascii="Times New Roman"/>
          <w:sz w:val="36"/>
          <w:szCs w:val="28"/>
        </w:rPr>
      </w:pPr>
      <w:r>
        <w:rPr>
          <w:rFonts w:hint="eastAsia" w:ascii="Times New Roman"/>
          <w:sz w:val="36"/>
          <w:szCs w:val="28"/>
        </w:rPr>
        <w:t>鳜鱼苗种培育</w:t>
      </w:r>
      <w:r>
        <w:rPr>
          <w:rFonts w:ascii="Times New Roman"/>
          <w:sz w:val="36"/>
          <w:szCs w:val="28"/>
        </w:rPr>
        <w:t>技术</w:t>
      </w:r>
      <w:r>
        <w:rPr>
          <w:rFonts w:hint="eastAsia" w:ascii="Times New Roman"/>
          <w:sz w:val="36"/>
          <w:szCs w:val="28"/>
        </w:rPr>
        <w:t>规范</w:t>
      </w:r>
    </w:p>
    <w:p>
      <w:pPr>
        <w:pStyle w:val="11"/>
        <w:snapToGrid w:val="0"/>
        <w:ind w:firstLine="720"/>
        <w:jc w:val="center"/>
        <w:rPr>
          <w:rFonts w:ascii="Times New Roman" w:hAnsi="Times New Roman" w:eastAsia="黑体" w:cs="Times New Roman"/>
          <w:kern w:val="0"/>
          <w:sz w:val="36"/>
          <w:szCs w:val="28"/>
        </w:rPr>
      </w:pPr>
      <w:r>
        <w:rPr>
          <w:rFonts w:hint="eastAsia" w:ascii="Times New Roman" w:hAnsi="Times New Roman" w:eastAsia="黑体" w:cs="Times New Roman"/>
          <w:kern w:val="0"/>
          <w:sz w:val="36"/>
          <w:szCs w:val="28"/>
        </w:rPr>
        <w:t>草案</w:t>
      </w:r>
    </w:p>
    <w:p>
      <w:pPr>
        <w:pStyle w:val="13"/>
        <w:numPr>
          <w:ilvl w:val="1"/>
          <w:numId w:val="3"/>
        </w:numPr>
        <w:spacing w:line="360" w:lineRule="auto"/>
        <w:rPr>
          <w:sz w:val="24"/>
        </w:rPr>
      </w:pPr>
      <w:bookmarkStart w:id="9" w:name="_Toc113083452"/>
      <w:bookmarkStart w:id="10" w:name="_Toc113082347"/>
      <w:bookmarkStart w:id="11" w:name="_Toc113082926"/>
      <w:bookmarkStart w:id="12" w:name="_Toc113082238"/>
      <w:r>
        <w:rPr>
          <w:sz w:val="24"/>
        </w:rPr>
        <w:t>范围</w:t>
      </w:r>
      <w:bookmarkEnd w:id="9"/>
      <w:bookmarkEnd w:id="10"/>
      <w:bookmarkEnd w:id="11"/>
      <w:bookmarkEnd w:id="12"/>
    </w:p>
    <w:p>
      <w:pPr>
        <w:pStyle w:val="11"/>
        <w:spacing w:line="360" w:lineRule="auto"/>
        <w:ind w:firstLine="480"/>
        <w:rPr>
          <w:sz w:val="24"/>
        </w:rPr>
      </w:pPr>
      <w:r>
        <w:rPr>
          <w:rFonts w:hint="eastAsia"/>
          <w:sz w:val="24"/>
        </w:rPr>
        <w:t>本文件规定了鳜鱼（</w:t>
      </w:r>
      <w:r>
        <w:rPr>
          <w:sz w:val="24"/>
        </w:rPr>
        <w:t xml:space="preserve"> </w:t>
      </w:r>
      <w:r>
        <w:rPr>
          <w:i/>
          <w:sz w:val="24"/>
        </w:rPr>
        <w:t>Siniperca chuatsi</w:t>
      </w:r>
      <w:r>
        <w:rPr>
          <w:sz w:val="24"/>
        </w:rPr>
        <w:t xml:space="preserve"> ）</w:t>
      </w:r>
      <w:r>
        <w:rPr>
          <w:rFonts w:hint="eastAsia"/>
          <w:sz w:val="24"/>
        </w:rPr>
        <w:t>苗种培育的</w:t>
      </w:r>
      <w:r>
        <w:rPr>
          <w:sz w:val="24"/>
        </w:rPr>
        <w:t>环境条件、</w:t>
      </w:r>
      <w:r>
        <w:rPr>
          <w:rFonts w:hint="eastAsia"/>
          <w:sz w:val="24"/>
        </w:rPr>
        <w:t>池塘条件、</w:t>
      </w:r>
      <w:r>
        <w:rPr>
          <w:sz w:val="24"/>
        </w:rPr>
        <w:t>苗种培</w:t>
      </w:r>
      <w:r>
        <w:rPr>
          <w:rFonts w:hint="eastAsia"/>
          <w:sz w:val="24"/>
        </w:rPr>
        <w:t>育、食用鱼养殖、饵料投喂。</w:t>
      </w:r>
    </w:p>
    <w:p>
      <w:pPr>
        <w:pStyle w:val="11"/>
        <w:spacing w:line="360" w:lineRule="auto"/>
        <w:ind w:firstLine="480"/>
        <w:rPr>
          <w:sz w:val="24"/>
        </w:rPr>
      </w:pPr>
      <w:r>
        <w:rPr>
          <w:rFonts w:hint="eastAsia"/>
          <w:sz w:val="24"/>
        </w:rPr>
        <w:t>本文件适用于池州市境内鳜鱼苗种的培育。</w:t>
      </w:r>
    </w:p>
    <w:p>
      <w:pPr>
        <w:pStyle w:val="13"/>
        <w:numPr>
          <w:ilvl w:val="1"/>
          <w:numId w:val="3"/>
        </w:numPr>
        <w:spacing w:line="360" w:lineRule="auto"/>
        <w:rPr>
          <w:sz w:val="24"/>
        </w:rPr>
      </w:pPr>
      <w:r>
        <w:rPr>
          <w:sz w:val="24"/>
        </w:rPr>
        <w:t>规范性引用文件</w:t>
      </w:r>
    </w:p>
    <w:p>
      <w:pPr>
        <w:pStyle w:val="11"/>
        <w:spacing w:line="360" w:lineRule="auto"/>
        <w:ind w:firstLine="420" w:firstLineChars="0"/>
        <w:rPr>
          <w:sz w:val="24"/>
        </w:rPr>
      </w:pPr>
      <w:r>
        <w:rPr>
          <w:rFonts w:hint="eastAsia"/>
          <w:sz w:val="24"/>
        </w:rPr>
        <w:t>下列文件中的条款通过本标准的引用而成为本标准的条款。凡是注日期的引用文件，其随后所有的修改单（不包括勘误的内容）或修订版均不适用于本标准，然而，鼓励根据本标准达成协议的各方研究是否可使用这些文件的最新版本。凡是不注日期的引用文件，其最新版本适用于本标准。</w:t>
      </w:r>
    </w:p>
    <w:p>
      <w:pPr>
        <w:pStyle w:val="11"/>
        <w:spacing w:line="360" w:lineRule="auto"/>
        <w:ind w:firstLine="480"/>
        <w:rPr>
          <w:sz w:val="24"/>
        </w:rPr>
      </w:pPr>
      <w:r>
        <w:rPr>
          <w:sz w:val="24"/>
        </w:rPr>
        <w:t>GB 11607 渔业水质标准</w:t>
      </w:r>
    </w:p>
    <w:p>
      <w:pPr>
        <w:pStyle w:val="11"/>
        <w:spacing w:line="360" w:lineRule="auto"/>
        <w:ind w:firstLine="480"/>
        <w:rPr>
          <w:sz w:val="24"/>
        </w:rPr>
      </w:pPr>
      <w:r>
        <w:rPr>
          <w:sz w:val="24"/>
        </w:rPr>
        <w:t>GB/T 18407.4 农产品安全质量 无公害水产品产地环境要求</w:t>
      </w:r>
    </w:p>
    <w:p>
      <w:pPr>
        <w:pStyle w:val="11"/>
        <w:spacing w:line="360" w:lineRule="auto"/>
        <w:ind w:firstLine="480"/>
        <w:rPr>
          <w:sz w:val="24"/>
        </w:rPr>
      </w:pPr>
      <w:r>
        <w:rPr>
          <w:sz w:val="24"/>
        </w:rPr>
        <w:t>NY 5051 无公害食品 淡水养殖用水水质</w:t>
      </w:r>
    </w:p>
    <w:p>
      <w:pPr>
        <w:pStyle w:val="11"/>
        <w:spacing w:line="360" w:lineRule="auto"/>
        <w:ind w:firstLine="480"/>
        <w:rPr>
          <w:sz w:val="24"/>
        </w:rPr>
      </w:pPr>
      <w:r>
        <w:rPr>
          <w:sz w:val="24"/>
        </w:rPr>
        <w:t>NY 5071 无公害食品 渔用药物使用准则</w:t>
      </w:r>
    </w:p>
    <w:p>
      <w:pPr>
        <w:pStyle w:val="11"/>
        <w:spacing w:line="360" w:lineRule="auto"/>
        <w:ind w:firstLine="480"/>
        <w:rPr>
          <w:sz w:val="24"/>
        </w:rPr>
      </w:pPr>
      <w:r>
        <w:rPr>
          <w:sz w:val="24"/>
        </w:rPr>
        <w:t>NY 5072 无公害食品 渔用配合饲料安全限量</w:t>
      </w:r>
    </w:p>
    <w:p>
      <w:pPr>
        <w:pStyle w:val="11"/>
        <w:spacing w:line="360" w:lineRule="auto"/>
        <w:ind w:firstLine="420" w:firstLineChars="0"/>
        <w:rPr>
          <w:sz w:val="24"/>
        </w:rPr>
      </w:pPr>
      <w:r>
        <w:rPr>
          <w:sz w:val="24"/>
        </w:rPr>
        <w:t>SC/T 1008-1994 池塘常规培育鱼苗、鱼种技术规范</w:t>
      </w:r>
    </w:p>
    <w:p>
      <w:pPr>
        <w:pStyle w:val="11"/>
        <w:spacing w:line="360" w:lineRule="auto"/>
        <w:ind w:firstLine="480"/>
        <w:rPr>
          <w:sz w:val="24"/>
        </w:rPr>
      </w:pPr>
      <w:r>
        <w:rPr>
          <w:sz w:val="24"/>
        </w:rPr>
        <w:t>NY/T 394 绿色食品 肥料使用准则</w:t>
      </w:r>
    </w:p>
    <w:p>
      <w:pPr>
        <w:pStyle w:val="11"/>
        <w:spacing w:line="360" w:lineRule="auto"/>
        <w:ind w:firstLine="420" w:firstLineChars="0"/>
        <w:rPr>
          <w:sz w:val="24"/>
        </w:rPr>
      </w:pPr>
      <w:r>
        <w:rPr>
          <w:sz w:val="24"/>
        </w:rPr>
        <w:t>SC/T 1008 池塘常规培育鱼苗鱼种技术规范</w:t>
      </w:r>
    </w:p>
    <w:p>
      <w:pPr>
        <w:pStyle w:val="11"/>
        <w:spacing w:line="360" w:lineRule="auto"/>
        <w:ind w:firstLine="420" w:firstLineChars="0"/>
        <w:rPr>
          <w:sz w:val="24"/>
        </w:rPr>
      </w:pPr>
      <w:r>
        <w:rPr>
          <w:sz w:val="24"/>
        </w:rPr>
        <w:t>SC/T 1017  池塘养鱼验收规则</w:t>
      </w:r>
    </w:p>
    <w:p>
      <w:pPr>
        <w:pStyle w:val="11"/>
        <w:spacing w:line="360" w:lineRule="auto"/>
        <w:ind w:firstLine="420" w:firstLineChars="0"/>
        <w:rPr>
          <w:sz w:val="24"/>
        </w:rPr>
      </w:pPr>
      <w:r>
        <w:rPr>
          <w:sz w:val="24"/>
        </w:rPr>
        <w:t>SC/T 1032.1  鳜养殖技术规范  亲鱼</w:t>
      </w:r>
    </w:p>
    <w:p>
      <w:pPr>
        <w:pStyle w:val="11"/>
        <w:spacing w:line="360" w:lineRule="auto"/>
        <w:ind w:firstLine="420" w:firstLineChars="0"/>
        <w:rPr>
          <w:sz w:val="24"/>
        </w:rPr>
      </w:pPr>
      <w:r>
        <w:rPr>
          <w:sz w:val="24"/>
        </w:rPr>
        <w:t>SC/T 1032.2  鳜养殖技术规范  亲鱼培育技术</w:t>
      </w:r>
    </w:p>
    <w:p>
      <w:pPr>
        <w:pStyle w:val="11"/>
        <w:spacing w:line="360" w:lineRule="auto"/>
        <w:ind w:firstLine="420" w:firstLineChars="0"/>
        <w:rPr>
          <w:sz w:val="24"/>
        </w:rPr>
      </w:pPr>
      <w:r>
        <w:rPr>
          <w:sz w:val="24"/>
        </w:rPr>
        <w:t>SC/T 1032.3  鳜养殖技术规范  人工繁殖技术</w:t>
      </w:r>
    </w:p>
    <w:p>
      <w:pPr>
        <w:pStyle w:val="11"/>
        <w:spacing w:line="360" w:lineRule="auto"/>
        <w:ind w:firstLine="420" w:firstLineChars="0"/>
        <w:rPr>
          <w:sz w:val="24"/>
        </w:rPr>
      </w:pPr>
      <w:r>
        <w:rPr>
          <w:sz w:val="24"/>
        </w:rPr>
        <w:t>SC/T 1032.5  鳜养殖技术规范  苗种</w:t>
      </w:r>
    </w:p>
    <w:p>
      <w:pPr>
        <w:pStyle w:val="11"/>
        <w:spacing w:line="360" w:lineRule="auto"/>
        <w:ind w:firstLine="420" w:firstLineChars="0"/>
        <w:rPr>
          <w:sz w:val="24"/>
        </w:rPr>
      </w:pPr>
      <w:r>
        <w:rPr>
          <w:sz w:val="24"/>
        </w:rPr>
        <w:t>SC/T 1032.6  鳜养殖技术规范  池塘饲养食用鱼技术环境条件</w:t>
      </w:r>
    </w:p>
    <w:p>
      <w:pPr>
        <w:pStyle w:val="11"/>
        <w:spacing w:line="360" w:lineRule="auto"/>
        <w:ind w:firstLine="420" w:firstLineChars="0"/>
        <w:rPr>
          <w:sz w:val="24"/>
        </w:rPr>
      </w:pPr>
      <w:r>
        <w:rPr>
          <w:sz w:val="24"/>
        </w:rPr>
        <w:t>SC 1038 鳜</w:t>
      </w:r>
    </w:p>
    <w:p>
      <w:pPr>
        <w:pStyle w:val="11"/>
        <w:spacing w:line="360" w:lineRule="auto"/>
        <w:ind w:firstLine="480"/>
        <w:rPr>
          <w:sz w:val="24"/>
        </w:rPr>
      </w:pPr>
    </w:p>
    <w:p>
      <w:pPr>
        <w:pStyle w:val="13"/>
        <w:numPr>
          <w:ilvl w:val="1"/>
          <w:numId w:val="3"/>
        </w:numPr>
        <w:spacing w:line="360" w:lineRule="auto"/>
        <w:rPr>
          <w:rFonts w:hAnsi="宋体" w:cs="宋体"/>
          <w:color w:val="000000"/>
          <w:sz w:val="24"/>
        </w:rPr>
      </w:pPr>
      <w:r>
        <w:rPr>
          <w:rFonts w:hint="eastAsia" w:hAnsi="宋体" w:cs="宋体"/>
          <w:color w:val="000000"/>
          <w:sz w:val="24"/>
        </w:rPr>
        <w:t>养殖条件</w:t>
      </w:r>
    </w:p>
    <w:p>
      <w:pPr>
        <w:pStyle w:val="13"/>
        <w:numPr>
          <w:ilvl w:val="2"/>
          <w:numId w:val="3"/>
        </w:numPr>
        <w:spacing w:line="360" w:lineRule="auto"/>
        <w:rPr>
          <w:sz w:val="24"/>
        </w:rPr>
      </w:pPr>
      <w:r>
        <w:rPr>
          <w:sz w:val="24"/>
        </w:rPr>
        <w:t>产地要求</w:t>
      </w:r>
    </w:p>
    <w:p>
      <w:pPr>
        <w:pStyle w:val="11"/>
        <w:spacing w:line="360" w:lineRule="auto"/>
        <w:ind w:firstLine="480"/>
        <w:rPr>
          <w:sz w:val="24"/>
        </w:rPr>
      </w:pPr>
      <w:r>
        <w:rPr>
          <w:rFonts w:hint="eastAsia"/>
          <w:sz w:val="24"/>
        </w:rPr>
        <w:t>应符合</w:t>
      </w:r>
      <w:r>
        <w:rPr>
          <w:sz w:val="24"/>
        </w:rPr>
        <w:t xml:space="preserve"> GB/T18407.4 的规定。</w:t>
      </w:r>
    </w:p>
    <w:p>
      <w:pPr>
        <w:pStyle w:val="13"/>
        <w:numPr>
          <w:ilvl w:val="3"/>
          <w:numId w:val="3"/>
        </w:numPr>
        <w:spacing w:line="360" w:lineRule="auto"/>
        <w:rPr>
          <w:sz w:val="24"/>
        </w:rPr>
      </w:pPr>
      <w:r>
        <w:rPr>
          <w:sz w:val="24"/>
        </w:rPr>
        <w:t>养殖用水</w:t>
      </w:r>
    </w:p>
    <w:p>
      <w:pPr>
        <w:pStyle w:val="13"/>
        <w:numPr>
          <w:ilvl w:val="3"/>
          <w:numId w:val="3"/>
        </w:numPr>
        <w:spacing w:line="360" w:lineRule="auto"/>
        <w:rPr>
          <w:sz w:val="24"/>
        </w:rPr>
      </w:pPr>
      <w:r>
        <w:rPr>
          <w:sz w:val="24"/>
        </w:rPr>
        <w:t>水源水质</w:t>
      </w:r>
    </w:p>
    <w:p>
      <w:pPr>
        <w:pStyle w:val="11"/>
        <w:spacing w:line="360" w:lineRule="auto"/>
        <w:ind w:firstLine="480"/>
        <w:rPr>
          <w:sz w:val="24"/>
        </w:rPr>
      </w:pPr>
      <w:r>
        <w:rPr>
          <w:rFonts w:hint="eastAsia"/>
          <w:sz w:val="24"/>
        </w:rPr>
        <w:t>水质清新无污染，水源充足，排灌方便。进排水</w:t>
      </w:r>
      <w:r>
        <w:rPr>
          <w:sz w:val="24"/>
        </w:rPr>
        <w:t>独立分开。</w:t>
      </w:r>
      <w:r>
        <w:rPr>
          <w:rFonts w:hint="eastAsia"/>
          <w:sz w:val="24"/>
        </w:rPr>
        <w:t>水质应符合</w:t>
      </w:r>
      <w:r>
        <w:rPr>
          <w:sz w:val="24"/>
        </w:rPr>
        <w:t xml:space="preserve"> GB11607 的规定。</w:t>
      </w:r>
    </w:p>
    <w:p>
      <w:pPr>
        <w:pStyle w:val="13"/>
        <w:numPr>
          <w:ilvl w:val="2"/>
          <w:numId w:val="3"/>
        </w:numPr>
        <w:spacing w:line="360" w:lineRule="auto"/>
        <w:rPr>
          <w:sz w:val="24"/>
        </w:rPr>
      </w:pPr>
      <w:r>
        <w:rPr>
          <w:sz w:val="24"/>
        </w:rPr>
        <w:t>养殖用水</w:t>
      </w:r>
    </w:p>
    <w:p>
      <w:pPr>
        <w:pStyle w:val="11"/>
        <w:spacing w:line="360" w:lineRule="auto"/>
        <w:ind w:firstLine="480"/>
        <w:rPr>
          <w:sz w:val="24"/>
        </w:rPr>
      </w:pPr>
      <w:r>
        <w:rPr>
          <w:rFonts w:hint="eastAsia"/>
          <w:sz w:val="24"/>
        </w:rPr>
        <w:t>应符合</w:t>
      </w:r>
      <w:r>
        <w:rPr>
          <w:sz w:val="24"/>
        </w:rPr>
        <w:t xml:space="preserve"> NY5051 的规定</w:t>
      </w:r>
      <w:r>
        <w:rPr>
          <w:rFonts w:hint="eastAsia"/>
          <w:sz w:val="24"/>
        </w:rPr>
        <w:t>，碱度和硬度均保持在</w:t>
      </w:r>
      <w:r>
        <w:rPr>
          <w:sz w:val="24"/>
        </w:rPr>
        <w:t>80-120左右。</w:t>
      </w:r>
    </w:p>
    <w:p>
      <w:pPr>
        <w:pStyle w:val="13"/>
        <w:numPr>
          <w:ilvl w:val="2"/>
          <w:numId w:val="3"/>
        </w:numPr>
        <w:spacing w:line="360" w:lineRule="auto"/>
        <w:rPr>
          <w:sz w:val="24"/>
        </w:rPr>
      </w:pPr>
      <w:r>
        <w:rPr>
          <w:sz w:val="24"/>
        </w:rPr>
        <w:t>池塘条件</w:t>
      </w:r>
    </w:p>
    <w:p>
      <w:pPr>
        <w:pStyle w:val="11"/>
        <w:spacing w:line="360" w:lineRule="auto"/>
        <w:ind w:firstLine="480"/>
        <w:rPr>
          <w:rFonts w:hAnsi="宋体" w:cs="宋体"/>
          <w:color w:val="000000"/>
          <w:sz w:val="24"/>
        </w:rPr>
      </w:pPr>
      <w:r>
        <w:rPr>
          <w:rFonts w:hint="eastAsia"/>
          <w:sz w:val="24"/>
        </w:rPr>
        <w:t>面积5</w:t>
      </w:r>
      <w:r>
        <w:rPr>
          <w:sz w:val="24"/>
        </w:rPr>
        <w:t>-8</w:t>
      </w:r>
      <w:r>
        <w:rPr>
          <w:rFonts w:hint="eastAsia"/>
          <w:sz w:val="24"/>
        </w:rPr>
        <w:t>亩，水深1</w:t>
      </w:r>
      <w:r>
        <w:rPr>
          <w:sz w:val="24"/>
        </w:rPr>
        <w:t>.5-1.8</w:t>
      </w:r>
      <w:r>
        <w:rPr>
          <w:rFonts w:hint="eastAsia"/>
          <w:sz w:val="24"/>
        </w:rPr>
        <w:t>米，底质壤土为宜，淤泥厚度1</w:t>
      </w:r>
      <w:r>
        <w:rPr>
          <w:sz w:val="24"/>
        </w:rPr>
        <w:t>0-20</w:t>
      </w:r>
      <w:r>
        <w:rPr>
          <w:rFonts w:hint="eastAsia"/>
          <w:sz w:val="24"/>
        </w:rPr>
        <w:t>cm为宜。</w:t>
      </w:r>
    </w:p>
    <w:p>
      <w:pPr>
        <w:pStyle w:val="13"/>
        <w:numPr>
          <w:ilvl w:val="2"/>
          <w:numId w:val="3"/>
        </w:numPr>
        <w:spacing w:line="360" w:lineRule="auto"/>
        <w:rPr>
          <w:rFonts w:hAnsi="宋体" w:cs="宋体"/>
          <w:color w:val="000000"/>
          <w:sz w:val="24"/>
        </w:rPr>
      </w:pPr>
      <w:r>
        <w:rPr>
          <w:rFonts w:hint="eastAsia" w:hAnsi="宋体" w:cs="宋体"/>
          <w:color w:val="000000"/>
          <w:sz w:val="24"/>
        </w:rPr>
        <w:t>干塘晒塘</w:t>
      </w:r>
    </w:p>
    <w:p>
      <w:pPr>
        <w:pStyle w:val="11"/>
        <w:spacing w:line="360" w:lineRule="auto"/>
        <w:ind w:firstLine="480"/>
        <w:rPr>
          <w:sz w:val="24"/>
        </w:rPr>
      </w:pPr>
      <w:r>
        <w:rPr>
          <w:rFonts w:hint="eastAsia"/>
          <w:sz w:val="24"/>
        </w:rPr>
        <w:t>将</w:t>
      </w:r>
      <w:r>
        <w:rPr>
          <w:sz w:val="24"/>
        </w:rPr>
        <w:t>池塘水抽干，四周适当挖沟，</w:t>
      </w:r>
      <w:r>
        <w:rPr>
          <w:rFonts w:hint="eastAsia"/>
          <w:sz w:val="24"/>
        </w:rPr>
        <w:t>让</w:t>
      </w:r>
      <w:r>
        <w:rPr>
          <w:sz w:val="24"/>
        </w:rPr>
        <w:t>塘</w:t>
      </w:r>
      <w:r>
        <w:rPr>
          <w:rFonts w:hint="eastAsia"/>
          <w:sz w:val="24"/>
        </w:rPr>
        <w:t>底泥</w:t>
      </w:r>
      <w:r>
        <w:rPr>
          <w:sz w:val="24"/>
        </w:rPr>
        <w:t>晒</w:t>
      </w:r>
      <w:r>
        <w:rPr>
          <w:rFonts w:hint="eastAsia"/>
          <w:sz w:val="24"/>
        </w:rPr>
        <w:t>开裂</w:t>
      </w:r>
      <w:r>
        <w:rPr>
          <w:sz w:val="24"/>
        </w:rPr>
        <w:t>，裂缝</w:t>
      </w:r>
      <w:r>
        <w:rPr>
          <w:rFonts w:hint="eastAsia"/>
          <w:sz w:val="24"/>
        </w:rPr>
        <w:t>达3厘米</w:t>
      </w:r>
      <w:r>
        <w:rPr>
          <w:sz w:val="24"/>
        </w:rPr>
        <w:t>以上，</w:t>
      </w:r>
      <w:r>
        <w:rPr>
          <w:rFonts w:hint="eastAsia"/>
          <w:sz w:val="24"/>
        </w:rPr>
        <w:t>保证底泥充分呼吸、氧化</w:t>
      </w:r>
      <w:r>
        <w:rPr>
          <w:sz w:val="24"/>
        </w:rPr>
        <w:t>。</w:t>
      </w:r>
    </w:p>
    <w:p>
      <w:pPr>
        <w:pStyle w:val="13"/>
        <w:numPr>
          <w:ilvl w:val="2"/>
          <w:numId w:val="3"/>
        </w:numPr>
        <w:spacing w:line="360" w:lineRule="auto"/>
        <w:rPr>
          <w:rFonts w:hAnsi="宋体" w:cs="宋体"/>
          <w:color w:val="000000"/>
          <w:sz w:val="24"/>
        </w:rPr>
      </w:pPr>
      <w:r>
        <w:rPr>
          <w:rFonts w:hint="eastAsia" w:hAnsi="宋体" w:cs="宋体"/>
          <w:color w:val="000000"/>
          <w:sz w:val="24"/>
        </w:rPr>
        <w:t>池塘</w:t>
      </w:r>
      <w:r>
        <w:rPr>
          <w:rFonts w:hAnsi="宋体" w:cs="宋体"/>
          <w:color w:val="000000"/>
          <w:sz w:val="24"/>
        </w:rPr>
        <w:t>底质改良</w:t>
      </w:r>
    </w:p>
    <w:p>
      <w:pPr>
        <w:pStyle w:val="11"/>
        <w:spacing w:line="360" w:lineRule="auto"/>
        <w:ind w:firstLine="480"/>
      </w:pPr>
      <w:r>
        <w:rPr>
          <w:rFonts w:hint="eastAsia"/>
          <w:sz w:val="24"/>
        </w:rPr>
        <w:t>每亩</w:t>
      </w:r>
      <w:r>
        <w:rPr>
          <w:sz w:val="24"/>
        </w:rPr>
        <w:t>泼洒生石灰，</w:t>
      </w:r>
      <w:r>
        <w:rPr>
          <w:rFonts w:hint="eastAsia"/>
          <w:sz w:val="24"/>
        </w:rPr>
        <w:t>用量</w:t>
      </w:r>
      <w:r>
        <w:rPr>
          <w:sz w:val="24"/>
        </w:rPr>
        <w:t>为</w:t>
      </w:r>
      <w:r>
        <w:rPr>
          <w:rFonts w:hint="eastAsia"/>
          <w:sz w:val="24"/>
        </w:rPr>
        <w:t>每亩300斤</w:t>
      </w:r>
      <w:r>
        <w:rPr>
          <w:sz w:val="24"/>
        </w:rPr>
        <w:t>，碱度</w:t>
      </w:r>
      <w:r>
        <w:rPr>
          <w:rFonts w:hint="eastAsia"/>
          <w:sz w:val="24"/>
        </w:rPr>
        <w:t>和</w:t>
      </w:r>
      <w:r>
        <w:rPr>
          <w:sz w:val="24"/>
        </w:rPr>
        <w:t>硬度</w:t>
      </w:r>
      <w:r>
        <w:rPr>
          <w:rFonts w:hint="eastAsia"/>
          <w:sz w:val="24"/>
        </w:rPr>
        <w:t>低</w:t>
      </w:r>
      <w:r>
        <w:rPr>
          <w:sz w:val="24"/>
        </w:rPr>
        <w:t>的池塘</w:t>
      </w:r>
      <w:r>
        <w:rPr>
          <w:rFonts w:hint="eastAsia"/>
          <w:sz w:val="24"/>
        </w:rPr>
        <w:t>适当</w:t>
      </w:r>
      <w:r>
        <w:rPr>
          <w:sz w:val="24"/>
        </w:rPr>
        <w:t>增加用量</w:t>
      </w:r>
      <w:r>
        <w:rPr>
          <w:rFonts w:hint="eastAsia"/>
          <w:sz w:val="24"/>
        </w:rPr>
        <w:t>。</w:t>
      </w:r>
    </w:p>
    <w:p>
      <w:pPr>
        <w:pStyle w:val="13"/>
        <w:numPr>
          <w:ilvl w:val="2"/>
          <w:numId w:val="3"/>
        </w:numPr>
        <w:spacing w:line="360" w:lineRule="auto"/>
        <w:rPr>
          <w:rFonts w:hAnsi="宋体" w:cs="宋体"/>
          <w:color w:val="000000"/>
          <w:sz w:val="24"/>
        </w:rPr>
      </w:pPr>
      <w:r>
        <w:rPr>
          <w:rFonts w:hint="eastAsia" w:hAnsi="宋体" w:cs="宋体"/>
          <w:color w:val="000000"/>
          <w:sz w:val="24"/>
        </w:rPr>
        <w:t>进水</w:t>
      </w:r>
    </w:p>
    <w:p>
      <w:pPr>
        <w:pStyle w:val="11"/>
        <w:spacing w:line="360" w:lineRule="auto"/>
        <w:ind w:firstLine="480"/>
        <w:rPr>
          <w:sz w:val="24"/>
        </w:rPr>
      </w:pPr>
      <w:r>
        <w:rPr>
          <w:rFonts w:hint="eastAsia"/>
          <w:sz w:val="24"/>
        </w:rPr>
        <w:t>保证进水水源干净无污染，上游无发病鱼塘。进水口</w:t>
      </w:r>
      <w:r>
        <w:rPr>
          <w:sz w:val="24"/>
        </w:rPr>
        <w:t>用80目以上网袋隔除杂质，将池塘水加至水位1.</w:t>
      </w:r>
      <w:r>
        <w:rPr>
          <w:rFonts w:hint="eastAsia"/>
          <w:sz w:val="24"/>
        </w:rPr>
        <w:t>5</w:t>
      </w:r>
      <w:r>
        <w:rPr>
          <w:sz w:val="24"/>
        </w:rPr>
        <w:t>-2.5米。</w:t>
      </w:r>
      <w:r>
        <w:rPr>
          <w:rFonts w:hint="eastAsia"/>
          <w:sz w:val="24"/>
        </w:rPr>
        <w:t>进好水后，用茶麸(提早1天浸泡)40斤/亩，二氧化氯</w:t>
      </w:r>
      <w:r>
        <w:rPr>
          <w:sz w:val="24"/>
        </w:rPr>
        <w:t>2斤/亩或漂白粉10斤/亩</w:t>
      </w:r>
      <w:r>
        <w:rPr>
          <w:rFonts w:hint="eastAsia"/>
          <w:sz w:val="24"/>
        </w:rPr>
        <w:t>对水体进行消毒。开动全部增氧机打水24小时。</w:t>
      </w:r>
    </w:p>
    <w:p>
      <w:pPr>
        <w:pStyle w:val="11"/>
        <w:spacing w:line="360" w:lineRule="auto"/>
        <w:ind w:firstLine="480"/>
        <w:rPr>
          <w:sz w:val="24"/>
        </w:rPr>
      </w:pPr>
    </w:p>
    <w:p>
      <w:pPr>
        <w:pStyle w:val="13"/>
        <w:numPr>
          <w:ilvl w:val="2"/>
          <w:numId w:val="3"/>
        </w:numPr>
        <w:spacing w:line="360" w:lineRule="auto"/>
        <w:rPr>
          <w:rFonts w:hAnsi="宋体" w:cs="宋体"/>
          <w:color w:val="000000"/>
          <w:sz w:val="24"/>
        </w:rPr>
      </w:pPr>
      <w:r>
        <w:rPr>
          <w:rFonts w:hint="eastAsia" w:hAnsi="宋体" w:cs="宋体"/>
          <w:color w:val="000000"/>
          <w:sz w:val="24"/>
        </w:rPr>
        <w:t>培水</w:t>
      </w:r>
    </w:p>
    <w:p>
      <w:pPr>
        <w:pStyle w:val="11"/>
        <w:spacing w:line="360" w:lineRule="auto"/>
        <w:ind w:firstLine="480"/>
        <w:rPr>
          <w:sz w:val="24"/>
        </w:rPr>
      </w:pPr>
      <w:r>
        <w:rPr>
          <w:rFonts w:hint="eastAsia"/>
          <w:sz w:val="24"/>
        </w:rPr>
        <w:t>待消毒产品药效过后，每亩泼发酵好的麸皮</w:t>
      </w:r>
      <w:r>
        <w:rPr>
          <w:sz w:val="24"/>
        </w:rPr>
        <w:t>10-20公斤，3天后再用1次</w:t>
      </w:r>
      <w:r>
        <w:rPr>
          <w:rFonts w:hint="eastAsia"/>
          <w:sz w:val="24"/>
        </w:rPr>
        <w:t>，</w:t>
      </w:r>
      <w:r>
        <w:rPr>
          <w:sz w:val="24"/>
        </w:rPr>
        <w:t>用量减半</w:t>
      </w:r>
      <w:r>
        <w:rPr>
          <w:rFonts w:hint="eastAsia"/>
          <w:sz w:val="24"/>
        </w:rPr>
        <w:t>；或生物有机肥1</w:t>
      </w:r>
      <w:r>
        <w:rPr>
          <w:sz w:val="24"/>
        </w:rPr>
        <w:t>00-150</w:t>
      </w:r>
      <w:r>
        <w:rPr>
          <w:rFonts w:hint="eastAsia"/>
          <w:sz w:val="24"/>
        </w:rPr>
        <w:t>kg，培育水产中的浮游生物</w:t>
      </w:r>
      <w:r>
        <w:rPr>
          <w:sz w:val="24"/>
        </w:rPr>
        <w:t>。</w:t>
      </w:r>
    </w:p>
    <w:p>
      <w:pPr>
        <w:pStyle w:val="13"/>
        <w:numPr>
          <w:ilvl w:val="2"/>
          <w:numId w:val="3"/>
        </w:numPr>
        <w:spacing w:line="360" w:lineRule="auto"/>
        <w:rPr>
          <w:rFonts w:hAnsi="宋体" w:cs="宋体"/>
          <w:color w:val="000000"/>
          <w:sz w:val="24"/>
        </w:rPr>
      </w:pPr>
      <w:r>
        <w:rPr>
          <w:rFonts w:hint="eastAsia" w:hAnsi="宋体" w:cs="宋体"/>
          <w:color w:val="000000"/>
          <w:sz w:val="24"/>
        </w:rPr>
        <w:t>水质和浮游</w:t>
      </w:r>
      <w:r>
        <w:rPr>
          <w:rFonts w:hAnsi="宋体" w:cs="宋体"/>
          <w:color w:val="000000"/>
          <w:sz w:val="24"/>
        </w:rPr>
        <w:t>生物监测</w:t>
      </w:r>
    </w:p>
    <w:p>
      <w:pPr>
        <w:pStyle w:val="11"/>
        <w:spacing w:line="360" w:lineRule="auto"/>
        <w:ind w:firstLine="480"/>
        <w:rPr>
          <w:sz w:val="24"/>
        </w:rPr>
      </w:pPr>
      <w:r>
        <w:rPr>
          <w:rFonts w:hint="eastAsia"/>
          <w:sz w:val="24"/>
        </w:rPr>
        <w:t>每天检测水体的</w:t>
      </w:r>
      <w:r>
        <w:rPr>
          <w:sz w:val="24"/>
        </w:rPr>
        <w:t>pH值</w:t>
      </w:r>
      <w:r>
        <w:rPr>
          <w:rFonts w:hint="eastAsia"/>
          <w:sz w:val="24"/>
        </w:rPr>
        <w:t>和</w:t>
      </w:r>
      <w:r>
        <w:rPr>
          <w:sz w:val="24"/>
        </w:rPr>
        <w:t>氨氮</w:t>
      </w:r>
      <w:r>
        <w:rPr>
          <w:rFonts w:hint="eastAsia"/>
          <w:sz w:val="24"/>
        </w:rPr>
        <w:t>，</w:t>
      </w:r>
      <w:r>
        <w:rPr>
          <w:sz w:val="24"/>
        </w:rPr>
        <w:t>用显微镜观察单胞藻和轮虫的</w:t>
      </w:r>
      <w:r>
        <w:rPr>
          <w:rFonts w:hint="eastAsia"/>
          <w:sz w:val="24"/>
        </w:rPr>
        <w:t>生长</w:t>
      </w:r>
      <w:r>
        <w:rPr>
          <w:sz w:val="24"/>
        </w:rPr>
        <w:t>情况</w:t>
      </w:r>
      <w:r>
        <w:rPr>
          <w:rFonts w:hint="eastAsia"/>
          <w:sz w:val="24"/>
        </w:rPr>
        <w:t>。</w:t>
      </w:r>
      <w:r>
        <w:rPr>
          <w:sz w:val="24"/>
        </w:rPr>
        <w:t>pH值</w:t>
      </w:r>
      <w:r>
        <w:rPr>
          <w:rFonts w:hint="eastAsia"/>
          <w:sz w:val="24"/>
        </w:rPr>
        <w:t>稳定在7.0-7.5，</w:t>
      </w:r>
      <w:r>
        <w:rPr>
          <w:sz w:val="24"/>
        </w:rPr>
        <w:t>氨氮</w:t>
      </w:r>
      <w:r>
        <w:rPr>
          <w:rFonts w:hint="eastAsia"/>
          <w:sz w:val="24"/>
        </w:rPr>
        <w:t>为0，</w:t>
      </w:r>
      <w:r>
        <w:rPr>
          <w:sz w:val="24"/>
        </w:rPr>
        <w:t>在</w:t>
      </w:r>
      <w:r>
        <w:rPr>
          <w:rFonts w:hint="eastAsia"/>
          <w:sz w:val="24"/>
        </w:rPr>
        <w:t>100倍</w:t>
      </w:r>
      <w:r>
        <w:rPr>
          <w:sz w:val="24"/>
        </w:rPr>
        <w:t>显微镜下观察</w:t>
      </w:r>
      <w:r>
        <w:rPr>
          <w:rFonts w:hint="eastAsia"/>
          <w:sz w:val="24"/>
        </w:rPr>
        <w:t>单个</w:t>
      </w:r>
      <w:r>
        <w:rPr>
          <w:sz w:val="24"/>
        </w:rPr>
        <w:t>视野单</w:t>
      </w:r>
      <w:r>
        <w:rPr>
          <w:rFonts w:hint="eastAsia"/>
          <w:sz w:val="24"/>
        </w:rPr>
        <w:t>胞</w:t>
      </w:r>
      <w:r>
        <w:rPr>
          <w:sz w:val="24"/>
        </w:rPr>
        <w:t>藻和轮虫的总数量达80%左右，</w:t>
      </w:r>
      <w:r>
        <w:rPr>
          <w:rFonts w:hint="eastAsia"/>
          <w:sz w:val="24"/>
        </w:rPr>
        <w:t>表明培水</w:t>
      </w:r>
      <w:r>
        <w:rPr>
          <w:sz w:val="24"/>
        </w:rPr>
        <w:t>达标，可以</w:t>
      </w:r>
      <w:r>
        <w:rPr>
          <w:rFonts w:hint="eastAsia"/>
          <w:sz w:val="24"/>
        </w:rPr>
        <w:t>开始</w:t>
      </w:r>
      <w:r>
        <w:rPr>
          <w:sz w:val="24"/>
        </w:rPr>
        <w:t>放苗。</w:t>
      </w:r>
    </w:p>
    <w:p>
      <w:pPr>
        <w:pStyle w:val="11"/>
        <w:spacing w:line="360" w:lineRule="auto"/>
        <w:ind w:firstLine="480"/>
        <w:rPr>
          <w:sz w:val="24"/>
        </w:rPr>
      </w:pPr>
    </w:p>
    <w:p>
      <w:pPr>
        <w:pStyle w:val="13"/>
        <w:numPr>
          <w:ilvl w:val="1"/>
          <w:numId w:val="3"/>
        </w:numPr>
        <w:spacing w:line="360" w:lineRule="auto"/>
        <w:rPr>
          <w:rFonts w:hAnsi="宋体" w:cs="宋体"/>
          <w:color w:val="000000"/>
          <w:sz w:val="24"/>
        </w:rPr>
      </w:pPr>
      <w:r>
        <w:rPr>
          <w:rFonts w:hint="eastAsia" w:hAnsi="宋体" w:cs="宋体"/>
          <w:color w:val="000000"/>
          <w:sz w:val="24"/>
        </w:rPr>
        <w:t>苗种养殖</w:t>
      </w:r>
    </w:p>
    <w:p>
      <w:pPr>
        <w:pStyle w:val="13"/>
        <w:numPr>
          <w:ilvl w:val="2"/>
          <w:numId w:val="3"/>
        </w:numPr>
        <w:spacing w:line="360" w:lineRule="auto"/>
        <w:rPr>
          <w:rFonts w:ascii="宋体" w:hAnsi="宋体" w:eastAsia="宋体"/>
          <w:sz w:val="24"/>
        </w:rPr>
      </w:pPr>
      <w:r>
        <w:rPr>
          <w:rFonts w:hint="eastAsia" w:ascii="宋体" w:hAnsi="宋体" w:eastAsia="宋体"/>
          <w:sz w:val="24"/>
        </w:rPr>
        <w:t>苗种</w:t>
      </w:r>
      <w:r>
        <w:rPr>
          <w:rFonts w:ascii="宋体" w:hAnsi="宋体" w:eastAsia="宋体"/>
          <w:sz w:val="24"/>
        </w:rPr>
        <w:t>的选择</w:t>
      </w:r>
    </w:p>
    <w:p>
      <w:pPr>
        <w:pStyle w:val="11"/>
        <w:spacing w:line="360" w:lineRule="auto"/>
        <w:ind w:firstLine="480"/>
        <w:rPr>
          <w:sz w:val="24"/>
        </w:rPr>
      </w:pPr>
      <w:r>
        <w:rPr>
          <w:rFonts w:hint="eastAsia"/>
          <w:sz w:val="24"/>
        </w:rPr>
        <w:t>除了鱼苗</w:t>
      </w:r>
      <w:r>
        <w:rPr>
          <w:sz w:val="24"/>
        </w:rPr>
        <w:t>本身要健康、活力好</w:t>
      </w:r>
      <w:r>
        <w:rPr>
          <w:rFonts w:hint="eastAsia"/>
          <w:sz w:val="24"/>
        </w:rPr>
        <w:t>、</w:t>
      </w:r>
      <w:r>
        <w:rPr>
          <w:sz w:val="24"/>
        </w:rPr>
        <w:t>没有畸形，不携带寄生虫外，</w:t>
      </w:r>
      <w:r>
        <w:rPr>
          <w:rFonts w:hint="eastAsia"/>
          <w:sz w:val="24"/>
        </w:rPr>
        <w:t>所有</w:t>
      </w:r>
      <w:r>
        <w:rPr>
          <w:sz w:val="24"/>
        </w:rPr>
        <w:t>的</w:t>
      </w:r>
      <w:r>
        <w:rPr>
          <w:rFonts w:hint="eastAsia"/>
          <w:sz w:val="24"/>
        </w:rPr>
        <w:t>苗种</w:t>
      </w:r>
      <w:r>
        <w:rPr>
          <w:sz w:val="24"/>
        </w:rPr>
        <w:t>和饵料鱼都要经过检测，确定不携带传染性脾肾坏死病毒</w:t>
      </w:r>
      <w:r>
        <w:rPr>
          <w:rFonts w:hint="eastAsia"/>
          <w:sz w:val="24"/>
        </w:rPr>
        <w:t>、蛙</w:t>
      </w:r>
      <w:r>
        <w:rPr>
          <w:sz w:val="24"/>
        </w:rPr>
        <w:t>虹彩病毒、弹状病毒和神经坏死病毒才能购买进入养殖场。</w:t>
      </w:r>
    </w:p>
    <w:p>
      <w:pPr>
        <w:pStyle w:val="13"/>
        <w:numPr>
          <w:ilvl w:val="2"/>
          <w:numId w:val="3"/>
        </w:numPr>
        <w:spacing w:line="360" w:lineRule="auto"/>
        <w:rPr>
          <w:rFonts w:ascii="宋体" w:hAnsi="宋体" w:eastAsia="宋体"/>
          <w:sz w:val="24"/>
        </w:rPr>
      </w:pPr>
      <w:r>
        <w:rPr>
          <w:rFonts w:hint="eastAsia" w:ascii="宋体" w:hAnsi="宋体" w:eastAsia="宋体"/>
          <w:sz w:val="24"/>
        </w:rPr>
        <w:t>投放饵料</w:t>
      </w:r>
      <w:r>
        <w:rPr>
          <w:rFonts w:ascii="宋体" w:hAnsi="宋体" w:eastAsia="宋体"/>
          <w:sz w:val="24"/>
        </w:rPr>
        <w:t>鱼水花</w:t>
      </w:r>
    </w:p>
    <w:p>
      <w:pPr>
        <w:pStyle w:val="11"/>
        <w:spacing w:line="360" w:lineRule="auto"/>
        <w:ind w:firstLine="480"/>
        <w:rPr>
          <w:sz w:val="24"/>
        </w:rPr>
      </w:pPr>
      <w:r>
        <w:rPr>
          <w:rFonts w:hint="eastAsia"/>
          <w:sz w:val="24"/>
        </w:rPr>
        <w:t>鱼苗</w:t>
      </w:r>
      <w:r>
        <w:rPr>
          <w:sz w:val="24"/>
        </w:rPr>
        <w:t>试水</w:t>
      </w:r>
      <w:r>
        <w:rPr>
          <w:rFonts w:hint="eastAsia"/>
          <w:sz w:val="24"/>
        </w:rPr>
        <w:t>，</w:t>
      </w:r>
      <w:r>
        <w:rPr>
          <w:sz w:val="24"/>
        </w:rPr>
        <w:t>确认水体安全后，投放饵料鱼水花，</w:t>
      </w:r>
      <w:r>
        <w:rPr>
          <w:rFonts w:hint="eastAsia"/>
          <w:sz w:val="24"/>
        </w:rPr>
        <w:t>投放</w:t>
      </w:r>
      <w:r>
        <w:rPr>
          <w:sz w:val="24"/>
        </w:rPr>
        <w:t>密度为</w:t>
      </w:r>
      <w:r>
        <w:rPr>
          <w:rFonts w:hint="eastAsia"/>
          <w:sz w:val="24"/>
        </w:rPr>
        <w:t>每</w:t>
      </w:r>
      <w:r>
        <w:rPr>
          <w:sz w:val="24"/>
        </w:rPr>
        <w:t>亩</w:t>
      </w:r>
      <w:r>
        <w:rPr>
          <w:rFonts w:hint="eastAsia"/>
          <w:sz w:val="24"/>
        </w:rPr>
        <w:t>2000万尾</w:t>
      </w:r>
      <w:r>
        <w:rPr>
          <w:sz w:val="24"/>
        </w:rPr>
        <w:t>。</w:t>
      </w:r>
    </w:p>
    <w:p>
      <w:pPr>
        <w:pStyle w:val="13"/>
        <w:numPr>
          <w:ilvl w:val="2"/>
          <w:numId w:val="3"/>
        </w:numPr>
        <w:spacing w:line="360" w:lineRule="auto"/>
        <w:rPr>
          <w:rFonts w:ascii="宋体" w:hAnsi="宋体" w:eastAsia="宋体"/>
          <w:sz w:val="24"/>
        </w:rPr>
      </w:pPr>
      <w:r>
        <w:rPr>
          <w:rFonts w:hint="eastAsia" w:ascii="宋体" w:hAnsi="宋体" w:eastAsia="宋体"/>
          <w:sz w:val="24"/>
        </w:rPr>
        <w:t>投放鳜鱼苗种</w:t>
      </w:r>
    </w:p>
    <w:p>
      <w:pPr>
        <w:pStyle w:val="11"/>
        <w:spacing w:line="360" w:lineRule="auto"/>
        <w:ind w:firstLine="480"/>
        <w:rPr>
          <w:sz w:val="24"/>
        </w:rPr>
      </w:pPr>
      <w:r>
        <w:rPr>
          <w:rFonts w:hint="eastAsia"/>
          <w:sz w:val="24"/>
        </w:rPr>
        <w:t>投放完</w:t>
      </w:r>
      <w:r>
        <w:rPr>
          <w:sz w:val="24"/>
        </w:rPr>
        <w:t>饵料鱼的第二天即可投放鳜鱼苗种，鳜鱼苗种的投</w:t>
      </w:r>
      <w:r>
        <w:rPr>
          <w:rFonts w:hint="eastAsia"/>
          <w:sz w:val="24"/>
        </w:rPr>
        <w:t>放</w:t>
      </w:r>
      <w:r>
        <w:rPr>
          <w:sz w:val="24"/>
        </w:rPr>
        <w:t>规格为</w:t>
      </w:r>
      <w:r>
        <w:rPr>
          <w:rFonts w:hint="eastAsia"/>
          <w:sz w:val="24"/>
        </w:rPr>
        <w:t>1</w:t>
      </w:r>
      <w:r>
        <w:rPr>
          <w:sz w:val="24"/>
        </w:rPr>
        <w:t>.5-</w:t>
      </w:r>
      <w:r>
        <w:rPr>
          <w:rFonts w:hint="eastAsia"/>
          <w:sz w:val="24"/>
        </w:rPr>
        <w:t>2cm</w:t>
      </w:r>
      <w:r>
        <w:rPr>
          <w:sz w:val="24"/>
        </w:rPr>
        <w:t>左右，投放密度为每亩</w:t>
      </w:r>
      <w:r>
        <w:rPr>
          <w:rFonts w:hint="eastAsia"/>
          <w:sz w:val="24"/>
        </w:rPr>
        <w:t>8-10万</w:t>
      </w:r>
      <w:r>
        <w:rPr>
          <w:sz w:val="24"/>
        </w:rPr>
        <w:t>尾。</w:t>
      </w:r>
      <w:r>
        <w:rPr>
          <w:rFonts w:hint="eastAsia"/>
          <w:sz w:val="24"/>
        </w:rPr>
        <w:t>投苗时小心操作，用桶装下塘，不能用管直放。投苗后及时泼洒维生素C，预防下塘后的肠炎和出血症。</w:t>
      </w:r>
    </w:p>
    <w:p>
      <w:pPr>
        <w:pStyle w:val="13"/>
        <w:numPr>
          <w:ilvl w:val="2"/>
          <w:numId w:val="3"/>
        </w:numPr>
        <w:spacing w:line="360" w:lineRule="auto"/>
        <w:rPr>
          <w:rFonts w:ascii="宋体" w:hAnsi="宋体" w:eastAsia="宋体"/>
          <w:sz w:val="24"/>
        </w:rPr>
      </w:pPr>
      <w:r>
        <w:rPr>
          <w:rFonts w:hint="eastAsia" w:ascii="宋体" w:hAnsi="宋体" w:eastAsia="宋体"/>
          <w:sz w:val="24"/>
        </w:rPr>
        <w:t>饵料</w:t>
      </w:r>
      <w:r>
        <w:rPr>
          <w:rFonts w:ascii="宋体" w:hAnsi="宋体" w:eastAsia="宋体"/>
          <w:sz w:val="24"/>
        </w:rPr>
        <w:t>种类</w:t>
      </w:r>
    </w:p>
    <w:p>
      <w:pPr>
        <w:pStyle w:val="11"/>
        <w:spacing w:line="360" w:lineRule="auto"/>
        <w:ind w:firstLine="480"/>
        <w:rPr>
          <w:sz w:val="24"/>
        </w:rPr>
      </w:pPr>
      <w:r>
        <w:rPr>
          <w:rFonts w:hint="eastAsia"/>
          <w:sz w:val="24"/>
        </w:rPr>
        <w:t>鲮鱼</w:t>
      </w:r>
      <w:r>
        <w:rPr>
          <w:sz w:val="24"/>
        </w:rPr>
        <w:t>、白鲢</w:t>
      </w:r>
      <w:r>
        <w:rPr>
          <w:rFonts w:hint="eastAsia"/>
          <w:sz w:val="24"/>
        </w:rPr>
        <w:t>和</w:t>
      </w:r>
      <w:r>
        <w:rPr>
          <w:sz w:val="24"/>
        </w:rPr>
        <w:t>鳙鱼</w:t>
      </w:r>
      <w:r>
        <w:rPr>
          <w:rFonts w:hint="eastAsia"/>
          <w:sz w:val="24"/>
        </w:rPr>
        <w:t>水花。</w:t>
      </w:r>
    </w:p>
    <w:p>
      <w:pPr>
        <w:pStyle w:val="13"/>
        <w:numPr>
          <w:ilvl w:val="2"/>
          <w:numId w:val="3"/>
        </w:numPr>
        <w:spacing w:line="360" w:lineRule="auto"/>
        <w:rPr>
          <w:rFonts w:ascii="宋体" w:hAnsi="宋体" w:eastAsia="宋体"/>
          <w:sz w:val="24"/>
        </w:rPr>
      </w:pPr>
      <w:r>
        <w:rPr>
          <w:rFonts w:hint="eastAsia" w:ascii="宋体" w:hAnsi="宋体" w:eastAsia="宋体"/>
          <w:sz w:val="24"/>
        </w:rPr>
        <w:t>饵料投喂</w:t>
      </w:r>
    </w:p>
    <w:p>
      <w:pPr>
        <w:pStyle w:val="11"/>
        <w:spacing w:line="360" w:lineRule="auto"/>
        <w:ind w:firstLine="480"/>
        <w:rPr>
          <w:sz w:val="24"/>
        </w:rPr>
      </w:pPr>
      <w:r>
        <w:rPr>
          <w:rFonts w:hint="eastAsia"/>
          <w:sz w:val="24"/>
        </w:rPr>
        <w:t>在初次</w:t>
      </w:r>
      <w:r>
        <w:rPr>
          <w:sz w:val="24"/>
        </w:rPr>
        <w:t>放入的饵料鱼被吃完后，开始投喂饵料鱼，饵料鱼的投喂策略尾少量多次投喂，</w:t>
      </w:r>
      <w:r>
        <w:rPr>
          <w:rFonts w:hint="eastAsia"/>
          <w:sz w:val="24"/>
        </w:rPr>
        <w:t>1次</w:t>
      </w:r>
      <w:r>
        <w:rPr>
          <w:sz w:val="24"/>
        </w:rPr>
        <w:t>投喂量约为</w:t>
      </w:r>
      <w:r>
        <w:rPr>
          <w:rFonts w:hint="eastAsia"/>
          <w:sz w:val="24"/>
        </w:rPr>
        <w:t>2-3天</w:t>
      </w:r>
      <w:r>
        <w:rPr>
          <w:sz w:val="24"/>
        </w:rPr>
        <w:t>吃完为宜。</w:t>
      </w:r>
    </w:p>
    <w:p>
      <w:pPr>
        <w:pStyle w:val="13"/>
        <w:numPr>
          <w:ilvl w:val="2"/>
          <w:numId w:val="3"/>
        </w:numPr>
        <w:spacing w:line="360" w:lineRule="auto"/>
        <w:rPr>
          <w:rFonts w:ascii="宋体" w:hAnsi="宋体" w:eastAsia="宋体"/>
          <w:sz w:val="24"/>
        </w:rPr>
      </w:pPr>
      <w:r>
        <w:rPr>
          <w:rFonts w:hint="eastAsia" w:ascii="宋体" w:hAnsi="宋体" w:eastAsia="宋体"/>
          <w:sz w:val="24"/>
        </w:rPr>
        <w:t>防敌</w:t>
      </w:r>
      <w:r>
        <w:rPr>
          <w:rFonts w:ascii="宋体" w:hAnsi="宋体" w:eastAsia="宋体"/>
          <w:sz w:val="24"/>
        </w:rPr>
        <w:t>害</w:t>
      </w:r>
    </w:p>
    <w:p>
      <w:pPr>
        <w:pStyle w:val="11"/>
        <w:ind w:firstLine="420"/>
      </w:pPr>
      <w:r>
        <w:rPr>
          <w:rFonts w:hint="eastAsia"/>
        </w:rPr>
        <w:t>在</w:t>
      </w:r>
      <w:r>
        <w:t>池塘的四周用瓦片或者密</w:t>
      </w:r>
      <w:r>
        <w:rPr>
          <w:rFonts w:hint="eastAsia"/>
        </w:rPr>
        <w:t>网</w:t>
      </w:r>
      <w:r>
        <w:t>围起来，</w:t>
      </w:r>
      <w:r>
        <w:rPr>
          <w:rFonts w:hint="eastAsia"/>
        </w:rPr>
        <w:t>防止</w:t>
      </w:r>
      <w:r>
        <w:t>老鼠、蛇</w:t>
      </w:r>
      <w:r>
        <w:rPr>
          <w:rFonts w:hint="eastAsia"/>
        </w:rPr>
        <w:t>、</w:t>
      </w:r>
      <w:r>
        <w:t>猫和田螺</w:t>
      </w:r>
      <w:r>
        <w:rPr>
          <w:rFonts w:hint="eastAsia"/>
        </w:rPr>
        <w:t>等进入苗种</w:t>
      </w:r>
      <w:r>
        <w:t>养殖池塘</w:t>
      </w:r>
      <w:r>
        <w:rPr>
          <w:rFonts w:hint="eastAsia"/>
        </w:rPr>
        <w:t>。</w:t>
      </w:r>
    </w:p>
    <w:p>
      <w:pPr>
        <w:pStyle w:val="11"/>
        <w:spacing w:line="360" w:lineRule="auto"/>
        <w:ind w:firstLine="480"/>
        <w:rPr>
          <w:sz w:val="24"/>
        </w:rPr>
      </w:pPr>
    </w:p>
    <w:p>
      <w:pPr>
        <w:pStyle w:val="13"/>
        <w:numPr>
          <w:ilvl w:val="2"/>
          <w:numId w:val="3"/>
        </w:numPr>
        <w:spacing w:line="360" w:lineRule="auto"/>
        <w:rPr>
          <w:rFonts w:ascii="宋体" w:hAnsi="宋体" w:eastAsia="宋体"/>
          <w:sz w:val="24"/>
        </w:rPr>
      </w:pPr>
      <w:r>
        <w:rPr>
          <w:rFonts w:hint="eastAsia" w:ascii="宋体" w:hAnsi="宋体" w:eastAsia="宋体"/>
          <w:sz w:val="24"/>
        </w:rPr>
        <w:t>饵料投喂</w:t>
      </w:r>
    </w:p>
    <w:p>
      <w:pPr>
        <w:pStyle w:val="11"/>
        <w:spacing w:line="360" w:lineRule="auto"/>
        <w:ind w:firstLine="480"/>
        <w:rPr>
          <w:sz w:val="24"/>
        </w:rPr>
      </w:pPr>
      <w:r>
        <w:rPr>
          <w:rFonts w:hint="eastAsia"/>
          <w:sz w:val="24"/>
        </w:rPr>
        <w:t>在初次</w:t>
      </w:r>
      <w:r>
        <w:rPr>
          <w:sz w:val="24"/>
        </w:rPr>
        <w:t>放入的饵料鱼被吃完后，开始投喂饵料鱼，饵料鱼的投喂策略尾少量多次投喂，</w:t>
      </w:r>
      <w:r>
        <w:rPr>
          <w:rFonts w:hint="eastAsia"/>
          <w:sz w:val="24"/>
        </w:rPr>
        <w:t>1次</w:t>
      </w:r>
      <w:r>
        <w:rPr>
          <w:sz w:val="24"/>
        </w:rPr>
        <w:t>投喂量约为</w:t>
      </w:r>
      <w:r>
        <w:rPr>
          <w:rFonts w:hint="eastAsia"/>
          <w:sz w:val="24"/>
        </w:rPr>
        <w:t>2-3天</w:t>
      </w:r>
      <w:r>
        <w:rPr>
          <w:sz w:val="24"/>
        </w:rPr>
        <w:t>吃完为宜。</w:t>
      </w:r>
      <w:r>
        <w:rPr>
          <w:rFonts w:hint="eastAsia"/>
          <w:sz w:val="24"/>
        </w:rPr>
        <w:t>投喂</w:t>
      </w:r>
      <w:r>
        <w:rPr>
          <w:sz w:val="24"/>
        </w:rPr>
        <w:t>的饵料鱼一点要适口，不同规格的鳜鱼对应需投喂的饵料鱼规格如表</w:t>
      </w:r>
      <w:r>
        <w:rPr>
          <w:rFonts w:hint="eastAsia"/>
          <w:sz w:val="24"/>
        </w:rPr>
        <w:t>2所示</w:t>
      </w:r>
      <w:r>
        <w:rPr>
          <w:sz w:val="24"/>
        </w:rPr>
        <w:t>。</w:t>
      </w:r>
      <w:r>
        <w:rPr>
          <w:rFonts w:hint="eastAsia"/>
          <w:sz w:val="24"/>
        </w:rPr>
        <w:t>投苗后及时泼洒大黄，预防下塘后的鳜鱼</w:t>
      </w:r>
      <w:r>
        <w:rPr>
          <w:sz w:val="24"/>
        </w:rPr>
        <w:t>出现</w:t>
      </w:r>
      <w:r>
        <w:rPr>
          <w:rFonts w:hint="eastAsia"/>
          <w:sz w:val="24"/>
        </w:rPr>
        <w:t>暴食</w:t>
      </w:r>
      <w:r>
        <w:rPr>
          <w:sz w:val="24"/>
        </w:rPr>
        <w:t>造成的</w:t>
      </w:r>
      <w:r>
        <w:rPr>
          <w:rFonts w:hint="eastAsia"/>
          <w:sz w:val="24"/>
        </w:rPr>
        <w:t>肠炎和出血症。</w:t>
      </w:r>
    </w:p>
    <w:p>
      <w:pPr>
        <w:pStyle w:val="11"/>
        <w:spacing w:line="360" w:lineRule="auto"/>
        <w:ind w:firstLine="480"/>
        <w:jc w:val="center"/>
        <w:rPr>
          <w:sz w:val="24"/>
        </w:rPr>
      </w:pPr>
      <w:r>
        <w:rPr>
          <w:rFonts w:hint="eastAsia"/>
          <w:sz w:val="24"/>
        </w:rPr>
        <w:t>表2 饵料鱼</w:t>
      </w:r>
      <w:r>
        <w:rPr>
          <w:sz w:val="24"/>
        </w:rPr>
        <w:t>投喂规格</w:t>
      </w:r>
    </w:p>
    <w:tbl>
      <w:tblPr>
        <w:tblStyle w:val="7"/>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pStyle w:val="11"/>
              <w:spacing w:line="360" w:lineRule="auto"/>
              <w:ind w:firstLine="0" w:firstLineChars="0"/>
              <w:jc w:val="center"/>
              <w:rPr>
                <w:sz w:val="24"/>
              </w:rPr>
            </w:pPr>
            <w:r>
              <w:rPr>
                <w:rFonts w:hint="eastAsia"/>
                <w:sz w:val="24"/>
              </w:rPr>
              <w:t>鳜鱼</w:t>
            </w:r>
            <w:r>
              <w:rPr>
                <w:sz w:val="24"/>
              </w:rPr>
              <w:t>规格</w:t>
            </w:r>
          </w:p>
        </w:tc>
        <w:tc>
          <w:tcPr>
            <w:tcW w:w="4148" w:type="dxa"/>
          </w:tcPr>
          <w:p>
            <w:pPr>
              <w:pStyle w:val="11"/>
              <w:spacing w:line="360" w:lineRule="auto"/>
              <w:ind w:firstLine="0" w:firstLineChars="0"/>
              <w:jc w:val="center"/>
              <w:rPr>
                <w:sz w:val="24"/>
              </w:rPr>
            </w:pPr>
            <w:r>
              <w:rPr>
                <w:rFonts w:hint="eastAsia"/>
                <w:sz w:val="24"/>
              </w:rPr>
              <w:t>投喂</w:t>
            </w:r>
            <w:r>
              <w:rPr>
                <w:sz w:val="24"/>
              </w:rPr>
              <w:t>的饵料鱼规格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pStyle w:val="11"/>
              <w:spacing w:line="360" w:lineRule="auto"/>
              <w:ind w:firstLine="0" w:firstLineChars="0"/>
              <w:jc w:val="center"/>
              <w:rPr>
                <w:sz w:val="24"/>
              </w:rPr>
            </w:pPr>
            <w:r>
              <w:rPr>
                <w:rFonts w:hint="eastAsia"/>
                <w:sz w:val="24"/>
              </w:rPr>
              <w:t>1.5</w:t>
            </w:r>
            <w:r>
              <w:rPr>
                <w:sz w:val="24"/>
              </w:rPr>
              <w:t>cm</w:t>
            </w:r>
          </w:p>
        </w:tc>
        <w:tc>
          <w:tcPr>
            <w:tcW w:w="4148" w:type="dxa"/>
          </w:tcPr>
          <w:p>
            <w:pPr>
              <w:pStyle w:val="11"/>
              <w:spacing w:line="360" w:lineRule="auto"/>
              <w:ind w:firstLine="0" w:firstLineChars="0"/>
              <w:jc w:val="center"/>
              <w:rPr>
                <w:sz w:val="24"/>
              </w:rPr>
            </w:pPr>
            <w:r>
              <w:rPr>
                <w:rFonts w:hint="eastAsia"/>
                <w:sz w:val="24"/>
              </w:rPr>
              <w:t>30000尾/斤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pStyle w:val="11"/>
              <w:spacing w:line="360" w:lineRule="auto"/>
              <w:ind w:firstLine="0" w:firstLineChars="0"/>
              <w:jc w:val="center"/>
              <w:rPr>
                <w:sz w:val="24"/>
              </w:rPr>
            </w:pPr>
            <w:r>
              <w:rPr>
                <w:rFonts w:hint="eastAsia"/>
                <w:sz w:val="24"/>
              </w:rPr>
              <w:t>3</w:t>
            </w:r>
            <w:r>
              <w:rPr>
                <w:sz w:val="24"/>
              </w:rPr>
              <w:t>cm</w:t>
            </w:r>
          </w:p>
        </w:tc>
        <w:tc>
          <w:tcPr>
            <w:tcW w:w="4148" w:type="dxa"/>
          </w:tcPr>
          <w:p>
            <w:pPr>
              <w:pStyle w:val="11"/>
              <w:spacing w:line="360" w:lineRule="auto"/>
              <w:ind w:firstLine="0" w:firstLineChars="0"/>
              <w:jc w:val="center"/>
              <w:rPr>
                <w:sz w:val="24"/>
              </w:rPr>
            </w:pPr>
            <w:r>
              <w:rPr>
                <w:rFonts w:hint="eastAsia"/>
                <w:sz w:val="24"/>
              </w:rPr>
              <w:t>8000-10000尾/斤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pStyle w:val="11"/>
              <w:spacing w:line="360" w:lineRule="auto"/>
              <w:ind w:firstLine="0" w:firstLineChars="0"/>
              <w:jc w:val="center"/>
              <w:rPr>
                <w:sz w:val="24"/>
              </w:rPr>
            </w:pPr>
            <w:r>
              <w:rPr>
                <w:sz w:val="24"/>
              </w:rPr>
              <w:t>5cm</w:t>
            </w:r>
          </w:p>
        </w:tc>
        <w:tc>
          <w:tcPr>
            <w:tcW w:w="4148" w:type="dxa"/>
          </w:tcPr>
          <w:p>
            <w:pPr>
              <w:pStyle w:val="11"/>
              <w:spacing w:line="360" w:lineRule="auto"/>
              <w:ind w:firstLine="0" w:firstLineChars="0"/>
              <w:jc w:val="center"/>
              <w:rPr>
                <w:sz w:val="24"/>
              </w:rPr>
            </w:pPr>
            <w:r>
              <w:rPr>
                <w:rFonts w:hint="eastAsia"/>
                <w:sz w:val="24"/>
              </w:rPr>
              <w:t>4000-5000尾/斤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pStyle w:val="11"/>
              <w:spacing w:line="360" w:lineRule="auto"/>
              <w:ind w:firstLine="0" w:firstLineChars="0"/>
              <w:jc w:val="center"/>
              <w:rPr>
                <w:sz w:val="24"/>
              </w:rPr>
            </w:pPr>
            <w:r>
              <w:rPr>
                <w:rFonts w:hint="eastAsia"/>
                <w:sz w:val="24"/>
              </w:rPr>
              <w:t>7</w:t>
            </w:r>
            <w:r>
              <w:rPr>
                <w:sz w:val="24"/>
              </w:rPr>
              <w:t>cm</w:t>
            </w:r>
          </w:p>
        </w:tc>
        <w:tc>
          <w:tcPr>
            <w:tcW w:w="4148" w:type="dxa"/>
          </w:tcPr>
          <w:p>
            <w:pPr>
              <w:pStyle w:val="11"/>
              <w:spacing w:line="360" w:lineRule="auto"/>
              <w:ind w:firstLine="0" w:firstLineChars="0"/>
              <w:jc w:val="center"/>
              <w:rPr>
                <w:sz w:val="24"/>
              </w:rPr>
            </w:pPr>
            <w:r>
              <w:rPr>
                <w:rFonts w:hint="eastAsia"/>
                <w:sz w:val="24"/>
              </w:rPr>
              <w:t>2000-3000尾/斤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pStyle w:val="11"/>
              <w:spacing w:line="360" w:lineRule="auto"/>
              <w:ind w:firstLine="0" w:firstLineChars="0"/>
              <w:jc w:val="center"/>
              <w:rPr>
                <w:sz w:val="24"/>
              </w:rPr>
            </w:pPr>
            <w:r>
              <w:rPr>
                <w:rFonts w:hint="eastAsia"/>
                <w:sz w:val="24"/>
              </w:rPr>
              <w:t>9</w:t>
            </w:r>
            <w:r>
              <w:rPr>
                <w:sz w:val="24"/>
              </w:rPr>
              <w:t>cm</w:t>
            </w:r>
          </w:p>
        </w:tc>
        <w:tc>
          <w:tcPr>
            <w:tcW w:w="4148" w:type="dxa"/>
          </w:tcPr>
          <w:p>
            <w:pPr>
              <w:pStyle w:val="11"/>
              <w:spacing w:line="360" w:lineRule="auto"/>
              <w:ind w:firstLine="0" w:firstLineChars="0"/>
              <w:jc w:val="center"/>
              <w:rPr>
                <w:sz w:val="24"/>
              </w:rPr>
            </w:pPr>
            <w:r>
              <w:rPr>
                <w:rFonts w:hint="eastAsia"/>
                <w:sz w:val="24"/>
              </w:rPr>
              <w:t>1000尾/斤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pStyle w:val="11"/>
              <w:spacing w:line="360" w:lineRule="auto"/>
              <w:ind w:firstLine="0" w:firstLineChars="0"/>
              <w:jc w:val="center"/>
              <w:rPr>
                <w:sz w:val="24"/>
              </w:rPr>
            </w:pPr>
            <w:r>
              <w:rPr>
                <w:rFonts w:hint="eastAsia"/>
                <w:sz w:val="24"/>
              </w:rPr>
              <w:t>10</w:t>
            </w:r>
            <w:r>
              <w:rPr>
                <w:sz w:val="24"/>
              </w:rPr>
              <w:t>cm</w:t>
            </w:r>
          </w:p>
        </w:tc>
        <w:tc>
          <w:tcPr>
            <w:tcW w:w="4148" w:type="dxa"/>
          </w:tcPr>
          <w:p>
            <w:pPr>
              <w:pStyle w:val="11"/>
              <w:spacing w:line="360" w:lineRule="auto"/>
              <w:ind w:firstLine="0" w:firstLineChars="0"/>
              <w:jc w:val="center"/>
              <w:rPr>
                <w:sz w:val="24"/>
              </w:rPr>
            </w:pPr>
            <w:r>
              <w:rPr>
                <w:rFonts w:hint="eastAsia"/>
                <w:sz w:val="24"/>
              </w:rPr>
              <w:t>500尾/斤</w:t>
            </w:r>
          </w:p>
        </w:tc>
      </w:tr>
    </w:tbl>
    <w:p>
      <w:pPr>
        <w:pStyle w:val="11"/>
        <w:spacing w:line="360" w:lineRule="auto"/>
        <w:ind w:firstLine="480"/>
        <w:jc w:val="center"/>
        <w:rPr>
          <w:sz w:val="24"/>
        </w:rPr>
      </w:pPr>
    </w:p>
    <w:p>
      <w:pPr>
        <w:pStyle w:val="13"/>
        <w:numPr>
          <w:ilvl w:val="1"/>
          <w:numId w:val="3"/>
        </w:numPr>
        <w:spacing w:line="360" w:lineRule="auto"/>
        <w:rPr>
          <w:rFonts w:hAnsi="宋体" w:cs="宋体"/>
          <w:color w:val="000000"/>
          <w:sz w:val="24"/>
        </w:rPr>
      </w:pPr>
      <w:r>
        <w:rPr>
          <w:rFonts w:hint="eastAsia" w:hAnsi="宋体" w:cs="宋体"/>
          <w:color w:val="000000"/>
          <w:sz w:val="24"/>
        </w:rPr>
        <w:t>溶解氧</w:t>
      </w:r>
      <w:r>
        <w:rPr>
          <w:rFonts w:hAnsi="宋体" w:cs="宋体"/>
          <w:color w:val="000000"/>
          <w:sz w:val="24"/>
        </w:rPr>
        <w:t>管理</w:t>
      </w:r>
    </w:p>
    <w:p>
      <w:pPr>
        <w:pStyle w:val="11"/>
        <w:spacing w:line="360" w:lineRule="auto"/>
        <w:ind w:firstLine="480"/>
        <w:rPr>
          <w:sz w:val="24"/>
        </w:rPr>
      </w:pPr>
      <w:r>
        <w:rPr>
          <w:rFonts w:hint="eastAsia"/>
          <w:sz w:val="24"/>
        </w:rPr>
        <w:t>溶解氧低容易</w:t>
      </w:r>
      <w:r>
        <w:rPr>
          <w:sz w:val="24"/>
        </w:rPr>
        <w:t>造成</w:t>
      </w:r>
      <w:r>
        <w:rPr>
          <w:rFonts w:hint="eastAsia"/>
          <w:sz w:val="24"/>
        </w:rPr>
        <w:t>鱼体</w:t>
      </w:r>
      <w:r>
        <w:rPr>
          <w:sz w:val="24"/>
        </w:rPr>
        <w:t>免疫下降，有害</w:t>
      </w:r>
      <w:r>
        <w:rPr>
          <w:rFonts w:hint="eastAsia"/>
          <w:sz w:val="24"/>
        </w:rPr>
        <w:t>病原</w:t>
      </w:r>
      <w:r>
        <w:rPr>
          <w:sz w:val="24"/>
        </w:rPr>
        <w:t>大量滋生，是诱导病害发生的关键</w:t>
      </w:r>
      <w:r>
        <w:rPr>
          <w:rFonts w:hint="eastAsia"/>
          <w:sz w:val="24"/>
        </w:rPr>
        <w:t>风险</w:t>
      </w:r>
      <w:r>
        <w:rPr>
          <w:sz w:val="24"/>
        </w:rPr>
        <w:t>因子</w:t>
      </w:r>
      <w:r>
        <w:rPr>
          <w:rFonts w:hint="eastAsia"/>
          <w:sz w:val="24"/>
        </w:rPr>
        <w:t>之一</w:t>
      </w:r>
      <w:r>
        <w:rPr>
          <w:sz w:val="24"/>
        </w:rPr>
        <w:t>。因此</w:t>
      </w:r>
      <w:r>
        <w:rPr>
          <w:rFonts w:hint="eastAsia"/>
          <w:sz w:val="24"/>
        </w:rPr>
        <w:t>要</w:t>
      </w:r>
      <w:r>
        <w:rPr>
          <w:sz w:val="24"/>
        </w:rPr>
        <w:t>在养殖全程管理好溶解氧。</w:t>
      </w:r>
    </w:p>
    <w:p>
      <w:pPr>
        <w:pStyle w:val="13"/>
        <w:numPr>
          <w:ilvl w:val="2"/>
          <w:numId w:val="3"/>
        </w:numPr>
        <w:spacing w:line="360" w:lineRule="auto"/>
        <w:rPr>
          <w:rFonts w:ascii="宋体" w:hAnsi="宋体" w:eastAsia="宋体"/>
          <w:sz w:val="24"/>
        </w:rPr>
      </w:pPr>
      <w:r>
        <w:rPr>
          <w:rFonts w:hint="eastAsia" w:ascii="宋体" w:hAnsi="宋体" w:eastAsia="宋体"/>
          <w:sz w:val="24"/>
        </w:rPr>
        <w:t>增氧机</w:t>
      </w:r>
      <w:r>
        <w:rPr>
          <w:rFonts w:ascii="宋体" w:hAnsi="宋体" w:eastAsia="宋体"/>
          <w:sz w:val="24"/>
        </w:rPr>
        <w:t>配置</w:t>
      </w:r>
    </w:p>
    <w:p>
      <w:pPr>
        <w:pStyle w:val="11"/>
        <w:spacing w:line="360" w:lineRule="auto"/>
        <w:ind w:firstLine="480"/>
        <w:rPr>
          <w:sz w:val="24"/>
        </w:rPr>
      </w:pPr>
      <w:r>
        <w:rPr>
          <w:rFonts w:hint="eastAsia"/>
          <w:sz w:val="24"/>
        </w:rPr>
        <w:t>混合使用叶轮增氧机和水车增氧机，保持池塘微流水状态和1亩配置0.5千瓦增氧动力。</w:t>
      </w:r>
    </w:p>
    <w:p>
      <w:pPr>
        <w:pStyle w:val="13"/>
        <w:numPr>
          <w:ilvl w:val="2"/>
          <w:numId w:val="3"/>
        </w:numPr>
        <w:spacing w:line="360" w:lineRule="auto"/>
        <w:rPr>
          <w:rFonts w:ascii="宋体" w:hAnsi="宋体" w:eastAsia="宋体"/>
          <w:sz w:val="24"/>
        </w:rPr>
      </w:pPr>
      <w:r>
        <w:rPr>
          <w:rFonts w:hint="eastAsia" w:ascii="宋体" w:hAnsi="宋体" w:eastAsia="宋体"/>
          <w:sz w:val="24"/>
        </w:rPr>
        <w:t>水深控制</w:t>
      </w:r>
    </w:p>
    <w:p>
      <w:pPr>
        <w:pStyle w:val="11"/>
        <w:spacing w:line="360" w:lineRule="auto"/>
        <w:ind w:firstLine="480"/>
        <w:rPr>
          <w:sz w:val="24"/>
        </w:rPr>
      </w:pPr>
      <w:r>
        <w:rPr>
          <w:rFonts w:hint="eastAsia"/>
          <w:sz w:val="24"/>
        </w:rPr>
        <w:t>保持</w:t>
      </w:r>
      <w:r>
        <w:rPr>
          <w:sz w:val="24"/>
        </w:rPr>
        <w:t>1.8米以上水深。</w:t>
      </w:r>
      <w:r>
        <w:rPr>
          <w:rFonts w:hint="eastAsia"/>
          <w:sz w:val="24"/>
        </w:rPr>
        <w:t>（准备好竹竿标好尺寸）</w:t>
      </w:r>
    </w:p>
    <w:p>
      <w:pPr>
        <w:pStyle w:val="13"/>
        <w:numPr>
          <w:ilvl w:val="2"/>
          <w:numId w:val="3"/>
        </w:numPr>
        <w:spacing w:line="360" w:lineRule="auto"/>
        <w:rPr>
          <w:rFonts w:ascii="宋体" w:hAnsi="宋体" w:eastAsia="宋体"/>
          <w:sz w:val="24"/>
        </w:rPr>
      </w:pPr>
      <w:r>
        <w:rPr>
          <w:rFonts w:hint="eastAsia" w:ascii="宋体" w:hAnsi="宋体" w:eastAsia="宋体"/>
          <w:sz w:val="24"/>
        </w:rPr>
        <w:t>水质控制</w:t>
      </w:r>
    </w:p>
    <w:p>
      <w:pPr>
        <w:pStyle w:val="11"/>
        <w:spacing w:line="360" w:lineRule="auto"/>
        <w:ind w:firstLine="480"/>
        <w:rPr>
          <w:sz w:val="24"/>
        </w:rPr>
      </w:pPr>
      <w:r>
        <w:rPr>
          <w:rFonts w:hint="eastAsia"/>
          <w:sz w:val="24"/>
        </w:rPr>
        <w:t>5-7天定期调水，保持嫩绿色藻相，稳定溶氧。每天</w:t>
      </w:r>
      <w:r>
        <w:rPr>
          <w:sz w:val="24"/>
        </w:rPr>
        <w:t>测量水</w:t>
      </w:r>
      <w:r>
        <w:rPr>
          <w:rFonts w:hint="eastAsia"/>
          <w:sz w:val="24"/>
        </w:rPr>
        <w:t>体</w:t>
      </w:r>
      <w:r>
        <w:rPr>
          <w:sz w:val="24"/>
        </w:rPr>
        <w:t>的pH,</w:t>
      </w:r>
      <w:r>
        <w:rPr>
          <w:rFonts w:hint="eastAsia"/>
          <w:sz w:val="24"/>
        </w:rPr>
        <w:t>溶解氧</w:t>
      </w:r>
      <w:r>
        <w:rPr>
          <w:sz w:val="24"/>
        </w:rPr>
        <w:t>，氨氮和亚</w:t>
      </w:r>
      <w:r>
        <w:rPr>
          <w:rFonts w:hint="eastAsia"/>
          <w:sz w:val="24"/>
        </w:rPr>
        <w:t>硝酸盐</w:t>
      </w:r>
      <w:r>
        <w:rPr>
          <w:sz w:val="24"/>
        </w:rPr>
        <w:t>。</w:t>
      </w:r>
      <w:r>
        <w:rPr>
          <w:rFonts w:hint="eastAsia"/>
          <w:sz w:val="24"/>
        </w:rPr>
        <w:t>每周测量</w:t>
      </w:r>
      <w:r>
        <w:rPr>
          <w:sz w:val="24"/>
        </w:rPr>
        <w:t>水体的总碱度和总硬度。</w:t>
      </w:r>
    </w:p>
    <w:p>
      <w:pPr>
        <w:pStyle w:val="11"/>
        <w:ind w:firstLine="480"/>
        <w:rPr>
          <w:sz w:val="24"/>
        </w:rPr>
      </w:pPr>
      <w:r>
        <w:rPr>
          <w:rFonts w:hint="eastAsia"/>
          <w:sz w:val="24"/>
        </w:rPr>
        <w:t>每5天</w:t>
      </w:r>
      <w:r>
        <w:rPr>
          <w:sz w:val="24"/>
        </w:rPr>
        <w:t>，泼一次生石灰，每次泼</w:t>
      </w:r>
      <w:r>
        <w:rPr>
          <w:rFonts w:hint="eastAsia"/>
          <w:sz w:val="24"/>
        </w:rPr>
        <w:t>2.5公斤/亩，</w:t>
      </w:r>
      <w:r>
        <w:rPr>
          <w:sz w:val="24"/>
        </w:rPr>
        <w:t>连泼</w:t>
      </w:r>
      <w:r>
        <w:rPr>
          <w:rFonts w:hint="eastAsia"/>
          <w:sz w:val="24"/>
        </w:rPr>
        <w:t>3天</w:t>
      </w:r>
      <w:r>
        <w:rPr>
          <w:sz w:val="24"/>
        </w:rPr>
        <w:t>。</w:t>
      </w:r>
    </w:p>
    <w:p>
      <w:pPr>
        <w:pStyle w:val="13"/>
        <w:numPr>
          <w:ilvl w:val="1"/>
          <w:numId w:val="3"/>
        </w:numPr>
        <w:spacing w:line="360" w:lineRule="auto"/>
        <w:rPr>
          <w:rFonts w:hAnsi="宋体" w:cs="宋体"/>
          <w:color w:val="000000"/>
          <w:sz w:val="24"/>
        </w:rPr>
      </w:pPr>
      <w:r>
        <w:rPr>
          <w:rFonts w:hAnsi="宋体" w:cs="宋体"/>
          <w:color w:val="000000"/>
          <w:sz w:val="24"/>
        </w:rPr>
        <w:t>日常管理</w:t>
      </w:r>
    </w:p>
    <w:p>
      <w:pPr>
        <w:pStyle w:val="13"/>
        <w:numPr>
          <w:ilvl w:val="2"/>
          <w:numId w:val="3"/>
        </w:numPr>
        <w:spacing w:line="360" w:lineRule="auto"/>
        <w:rPr>
          <w:rFonts w:ascii="宋体" w:eastAsia="宋体" w:hAnsiTheme="minorHAnsi" w:cstheme="minorBidi"/>
          <w:kern w:val="2"/>
          <w:sz w:val="24"/>
          <w:szCs w:val="22"/>
        </w:rPr>
      </w:pPr>
      <w:r>
        <w:rPr>
          <w:rFonts w:ascii="宋体" w:eastAsia="宋体" w:hAnsiTheme="minorHAnsi" w:cstheme="minorBidi"/>
          <w:kern w:val="2"/>
          <w:sz w:val="24"/>
          <w:szCs w:val="22"/>
        </w:rPr>
        <w:t>定期对</w:t>
      </w:r>
      <w:r>
        <w:rPr>
          <w:rFonts w:hint="eastAsia" w:ascii="宋体" w:eastAsia="宋体" w:hAnsiTheme="minorHAnsi" w:cstheme="minorBidi"/>
          <w:kern w:val="2"/>
          <w:sz w:val="24"/>
          <w:szCs w:val="22"/>
        </w:rPr>
        <w:t>鳜鱼</w:t>
      </w:r>
      <w:r>
        <w:rPr>
          <w:rFonts w:ascii="宋体" w:eastAsia="宋体" w:hAnsiTheme="minorHAnsi" w:cstheme="minorBidi"/>
          <w:kern w:val="2"/>
          <w:sz w:val="24"/>
          <w:szCs w:val="22"/>
        </w:rPr>
        <w:t>进行镜检，发现病情，及时采取防治措施。</w:t>
      </w:r>
    </w:p>
    <w:p>
      <w:pPr>
        <w:pStyle w:val="13"/>
        <w:numPr>
          <w:ilvl w:val="2"/>
          <w:numId w:val="3"/>
        </w:numPr>
        <w:spacing w:line="360" w:lineRule="auto"/>
        <w:rPr>
          <w:rFonts w:ascii="宋体" w:eastAsia="宋体" w:hAnsiTheme="minorHAnsi" w:cstheme="minorBidi"/>
          <w:kern w:val="2"/>
          <w:sz w:val="24"/>
          <w:szCs w:val="22"/>
        </w:rPr>
      </w:pPr>
      <w:r>
        <w:rPr>
          <w:rFonts w:hint="eastAsia" w:ascii="宋体" w:eastAsia="宋体" w:hAnsiTheme="minorHAnsi" w:cstheme="minorBidi"/>
          <w:kern w:val="2"/>
          <w:sz w:val="24"/>
          <w:szCs w:val="22"/>
        </w:rPr>
        <w:t>定期</w:t>
      </w:r>
      <w:r>
        <w:rPr>
          <w:rFonts w:ascii="宋体" w:eastAsia="宋体" w:hAnsiTheme="minorHAnsi" w:cstheme="minorBidi"/>
          <w:kern w:val="2"/>
          <w:sz w:val="24"/>
          <w:szCs w:val="22"/>
        </w:rPr>
        <w:t>检测</w:t>
      </w:r>
      <w:r>
        <w:rPr>
          <w:rFonts w:hint="eastAsia" w:ascii="宋体" w:eastAsia="宋体" w:hAnsiTheme="minorHAnsi" w:cstheme="minorBidi"/>
          <w:kern w:val="2"/>
          <w:sz w:val="24"/>
          <w:szCs w:val="22"/>
        </w:rPr>
        <w:t>池塘</w:t>
      </w:r>
      <w:r>
        <w:rPr>
          <w:rFonts w:ascii="宋体" w:eastAsia="宋体" w:hAnsiTheme="minorHAnsi" w:cstheme="minorBidi"/>
          <w:kern w:val="2"/>
          <w:sz w:val="24"/>
          <w:szCs w:val="22"/>
        </w:rPr>
        <w:t>水质指标，如有超标及时</w:t>
      </w:r>
      <w:r>
        <w:rPr>
          <w:rFonts w:hint="eastAsia" w:ascii="宋体" w:eastAsia="宋体" w:hAnsiTheme="minorHAnsi" w:cstheme="minorBidi"/>
          <w:kern w:val="2"/>
          <w:sz w:val="24"/>
          <w:szCs w:val="22"/>
        </w:rPr>
        <w:t>进行</w:t>
      </w:r>
      <w:r>
        <w:rPr>
          <w:rFonts w:ascii="宋体" w:eastAsia="宋体" w:hAnsiTheme="minorHAnsi" w:cstheme="minorBidi"/>
          <w:kern w:val="2"/>
          <w:sz w:val="24"/>
          <w:szCs w:val="22"/>
        </w:rPr>
        <w:t>处理</w:t>
      </w:r>
      <w:r>
        <w:rPr>
          <w:rFonts w:hint="eastAsia" w:ascii="宋体" w:eastAsia="宋体" w:hAnsiTheme="minorHAnsi" w:cstheme="minorBidi"/>
          <w:kern w:val="2"/>
          <w:sz w:val="24"/>
          <w:szCs w:val="22"/>
        </w:rPr>
        <w:t>。</w:t>
      </w:r>
    </w:p>
    <w:p>
      <w:pPr>
        <w:pStyle w:val="13"/>
        <w:numPr>
          <w:ilvl w:val="2"/>
          <w:numId w:val="3"/>
        </w:numPr>
        <w:spacing w:line="360" w:lineRule="auto"/>
        <w:rPr>
          <w:rFonts w:ascii="宋体" w:eastAsia="宋体" w:hAnsiTheme="minorHAnsi" w:cstheme="minorBidi"/>
          <w:kern w:val="2"/>
          <w:sz w:val="24"/>
          <w:szCs w:val="22"/>
        </w:rPr>
      </w:pPr>
      <w:r>
        <w:rPr>
          <w:rFonts w:ascii="宋体" w:eastAsia="宋体" w:hAnsiTheme="minorHAnsi" w:cstheme="minorBidi"/>
          <w:kern w:val="2"/>
          <w:sz w:val="24"/>
          <w:szCs w:val="22"/>
        </w:rPr>
        <w:t>专人负责管理，加强巡视，观察鱼塘水色变化及鳜鱼活动情况，及时冲水、增氧。傍晚、凌晨观察鳜摄食及饵料鱼剩余情况，当饵料鱼缺少时应及时补充。</w:t>
      </w:r>
    </w:p>
    <w:p>
      <w:pPr>
        <w:pStyle w:val="11"/>
        <w:ind w:firstLine="420"/>
      </w:pPr>
    </w:p>
    <w:p>
      <w:pPr>
        <w:pStyle w:val="11"/>
        <w:spacing w:line="360" w:lineRule="auto"/>
        <w:ind w:firstLine="420"/>
      </w:pPr>
    </w:p>
    <w:p>
      <w:pPr>
        <w:pStyle w:val="11"/>
        <w:ind w:firstLine="420"/>
      </w:pPr>
    </w:p>
    <w:p>
      <w:pPr>
        <w:pStyle w:val="11"/>
        <w:spacing w:line="360" w:lineRule="auto"/>
        <w:ind w:firstLine="480"/>
        <w:rPr>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720"/>
      <w:jc w:val="both"/>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ascii="Times New Roman" w:eastAsia="宋体"/>
        <w:lang w:val="en-US" w:eastAsia="zh-CN"/>
      </w:rPr>
      <w:t xml:space="preserve">                                                                         T</w:t>
    </w:r>
    <w:r>
      <w:rPr>
        <w:rFonts w:ascii="Times New Roman" w:eastAsia="宋体"/>
        <w:sz w:val="15"/>
        <w:szCs w:val="15"/>
      </w:rPr>
      <w:t xml:space="preserve"> </w:t>
    </w:r>
    <w:r>
      <w:rPr>
        <w:rFonts w:hint="eastAsia" w:ascii="Times New Roman" w:eastAsia="宋体"/>
        <w:lang w:val="en-US" w:eastAsia="zh-CN"/>
      </w:rPr>
      <w:t>/ CZGX001-2022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4"/>
      </w:rPr>
    </w:lvl>
    <w:lvl w:ilvl="2" w:tentative="0">
      <w:start w:val="1"/>
      <w:numFmt w:val="decimal"/>
      <w:suff w:val="nothing"/>
      <w:lvlText w:val="%1%2.%3　"/>
      <w:lvlJc w:val="left"/>
      <w:pPr>
        <w:ind w:left="0" w:firstLine="0"/>
      </w:pPr>
      <w:rPr>
        <w:rFonts w:hint="eastAsia" w:ascii="黑体" w:hAnsi="Times New Roman" w:eastAsia="黑体"/>
        <w:b w:val="0"/>
        <w:i w:val="0"/>
        <w:sz w:val="24"/>
      </w:rPr>
    </w:lvl>
    <w:lvl w:ilvl="3" w:tentative="0">
      <w:start w:val="1"/>
      <w:numFmt w:val="decimal"/>
      <w:suff w:val="nothing"/>
      <w:lvlText w:val="%1%2.%3.%4　"/>
      <w:lvlJc w:val="left"/>
      <w:pPr>
        <w:ind w:left="105" w:firstLine="0"/>
      </w:pPr>
      <w:rPr>
        <w:rFonts w:hint="eastAsia" w:ascii="黑体" w:hAnsi="Times New Roman" w:eastAsia="黑体"/>
        <w:b w:val="0"/>
        <w:i w:val="0"/>
        <w:sz w:val="24"/>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07ED3FEA"/>
    <w:multiLevelType w:val="multilevel"/>
    <w:tmpl w:val="07ED3FEA"/>
    <w:lvl w:ilvl="0" w:tentative="0">
      <w:start w:val="1"/>
      <w:numFmt w:val="none"/>
      <w:pStyle w:val="20"/>
      <w:lvlText w:val="%1"/>
      <w:lvlJc w:val="left"/>
      <w:pPr>
        <w:ind w:left="425" w:hanging="425"/>
      </w:pPr>
      <w:rPr>
        <w:rFonts w:hint="eastAsia"/>
      </w:rPr>
    </w:lvl>
    <w:lvl w:ilvl="1" w:tentative="0">
      <w:start w:val="1"/>
      <w:numFmt w:val="decimal"/>
      <w:pStyle w:val="29"/>
      <w:suff w:val="nothing"/>
      <w:lvlText w:val="%10.%2 "/>
      <w:lvlJc w:val="left"/>
      <w:pPr>
        <w:ind w:left="0" w:firstLine="0"/>
      </w:pPr>
      <w:rPr>
        <w:rFonts w:hint="eastAsia" w:ascii="黑体" w:eastAsia="黑体" w:hAnsiTheme="minorHAnsi"/>
        <w:b w:val="0"/>
        <w:i w:val="0"/>
        <w:sz w:val="21"/>
      </w:rPr>
    </w:lvl>
    <w:lvl w:ilvl="2" w:tentative="0">
      <w:start w:val="1"/>
      <w:numFmt w:val="decimal"/>
      <w:pStyle w:val="30"/>
      <w:suff w:val="nothing"/>
      <w:lvlText w:val="%10.%2.%3 "/>
      <w:lvlJc w:val="left"/>
      <w:pPr>
        <w:ind w:left="0" w:firstLine="0"/>
      </w:pPr>
      <w:rPr>
        <w:rFonts w:hint="eastAsia" w:ascii="黑体" w:eastAsia="黑体" w:hAnsiTheme="minorHAnsi"/>
        <w:b w:val="0"/>
        <w:i w:val="0"/>
        <w:sz w:val="21"/>
      </w:rPr>
    </w:lvl>
    <w:lvl w:ilvl="3" w:tentative="0">
      <w:start w:val="1"/>
      <w:numFmt w:val="decimal"/>
      <w:pStyle w:val="31"/>
      <w:suff w:val="nothing"/>
      <w:lvlText w:val="%10.%2.%3.%4 "/>
      <w:lvlJc w:val="left"/>
      <w:pPr>
        <w:ind w:left="0" w:firstLine="0"/>
      </w:pPr>
      <w:rPr>
        <w:rFonts w:hint="eastAsia" w:ascii="黑体" w:eastAsia="黑体" w:hAnsiTheme="minorHAnsi"/>
        <w:b w:val="0"/>
        <w:i w:val="0"/>
        <w:sz w:val="21"/>
      </w:rPr>
    </w:lvl>
    <w:lvl w:ilvl="4" w:tentative="0">
      <w:start w:val="1"/>
      <w:numFmt w:val="decimal"/>
      <w:pStyle w:val="32"/>
      <w:suff w:val="nothing"/>
      <w:lvlText w:val="%10.%2.%3.%4.%5 "/>
      <w:lvlJc w:val="left"/>
      <w:pPr>
        <w:ind w:left="0" w:firstLine="0"/>
      </w:pPr>
      <w:rPr>
        <w:rFonts w:hint="eastAsia" w:ascii="黑体" w:eastAsia="黑体" w:hAnsiTheme="minorHAnsi"/>
        <w:b w:val="0"/>
        <w:i w:val="0"/>
        <w:sz w:val="21"/>
      </w:rPr>
    </w:lvl>
    <w:lvl w:ilvl="5" w:tentative="0">
      <w:start w:val="1"/>
      <w:numFmt w:val="decimal"/>
      <w:pStyle w:val="33"/>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7DF91A20"/>
    <w:multiLevelType w:val="multilevel"/>
    <w:tmpl w:val="7DF91A20"/>
    <w:lvl w:ilvl="0" w:tentative="0">
      <w:start w:val="1"/>
      <w:numFmt w:val="decimal"/>
      <w:pStyle w:val="12"/>
      <w:lvlText w:val="%1"/>
      <w:lvlJc w:val="left"/>
      <w:pPr>
        <w:ind w:left="425" w:hanging="425"/>
      </w:pPr>
    </w:lvl>
    <w:lvl w:ilvl="1" w:tentative="0">
      <w:start w:val="1"/>
      <w:numFmt w:val="decimal"/>
      <w:pStyle w:val="1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EFF"/>
    <w:rsid w:val="00065B6D"/>
    <w:rsid w:val="000E6466"/>
    <w:rsid w:val="00134A6F"/>
    <w:rsid w:val="001A3EC6"/>
    <w:rsid w:val="001C0BC6"/>
    <w:rsid w:val="002415AD"/>
    <w:rsid w:val="00270EFF"/>
    <w:rsid w:val="002772AC"/>
    <w:rsid w:val="002B367D"/>
    <w:rsid w:val="00323DFD"/>
    <w:rsid w:val="00385D13"/>
    <w:rsid w:val="003902A8"/>
    <w:rsid w:val="00452DF6"/>
    <w:rsid w:val="00470A16"/>
    <w:rsid w:val="005A68D8"/>
    <w:rsid w:val="005B3A16"/>
    <w:rsid w:val="005C4863"/>
    <w:rsid w:val="005E0C72"/>
    <w:rsid w:val="00625BE5"/>
    <w:rsid w:val="00626F30"/>
    <w:rsid w:val="00634437"/>
    <w:rsid w:val="006E3583"/>
    <w:rsid w:val="008630CE"/>
    <w:rsid w:val="00910B01"/>
    <w:rsid w:val="009258D9"/>
    <w:rsid w:val="009C4062"/>
    <w:rsid w:val="009D7161"/>
    <w:rsid w:val="00A50468"/>
    <w:rsid w:val="00B33FF4"/>
    <w:rsid w:val="00C85735"/>
    <w:rsid w:val="00D85CD3"/>
    <w:rsid w:val="00E57B95"/>
    <w:rsid w:val="00EF5AC7"/>
    <w:rsid w:val="00F06DAE"/>
    <w:rsid w:val="00F72684"/>
    <w:rsid w:val="05A41054"/>
    <w:rsid w:val="0923273C"/>
    <w:rsid w:val="3FFC39A2"/>
    <w:rsid w:val="529955CA"/>
    <w:rsid w:val="5E805F45"/>
    <w:rsid w:val="6E2F3BFF"/>
    <w:rsid w:val="7DA05829"/>
    <w:rsid w:val="7E987C04"/>
    <w:rsid w:val="7E9B3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character" w:default="1" w:styleId="4">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Strong"/>
    <w:qFormat/>
    <w:uiPriority w:val="0"/>
    <w:rPr>
      <w:b/>
      <w:bCs/>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字符"/>
    <w:basedOn w:val="4"/>
    <w:link w:val="3"/>
    <w:qFormat/>
    <w:uiPriority w:val="99"/>
    <w:rPr>
      <w:sz w:val="18"/>
      <w:szCs w:val="18"/>
    </w:rPr>
  </w:style>
  <w:style w:type="character" w:customStyle="1" w:styleId="9">
    <w:name w:val="页脚 字符"/>
    <w:basedOn w:val="4"/>
    <w:link w:val="2"/>
    <w:qFormat/>
    <w:uiPriority w:val="99"/>
    <w:rPr>
      <w:sz w:val="18"/>
      <w:szCs w:val="18"/>
    </w:rPr>
  </w:style>
  <w:style w:type="character" w:customStyle="1" w:styleId="10">
    <w:name w:val="段 Char Char"/>
    <w:link w:val="11"/>
    <w:qFormat/>
    <w:uiPriority w:val="0"/>
    <w:rPr>
      <w:rFonts w:ascii="宋体" w:eastAsia="宋体"/>
    </w:rPr>
  </w:style>
  <w:style w:type="paragraph" w:customStyle="1" w:styleId="11">
    <w:name w:val="段"/>
    <w:link w:val="10"/>
    <w:qFormat/>
    <w:uiPriority w:val="0"/>
    <w:pPr>
      <w:autoSpaceDE w:val="0"/>
      <w:autoSpaceDN w:val="0"/>
      <w:ind w:firstLine="200" w:firstLineChars="200"/>
      <w:jc w:val="both"/>
    </w:pPr>
    <w:rPr>
      <w:rFonts w:ascii="宋体" w:eastAsia="宋体" w:hAnsiTheme="minorHAnsi" w:cstheme="minorBidi"/>
      <w:kern w:val="2"/>
      <w:sz w:val="21"/>
      <w:szCs w:val="22"/>
      <w:lang w:val="en-US" w:eastAsia="zh-CN" w:bidi="ar-SA"/>
    </w:rPr>
  </w:style>
  <w:style w:type="paragraph" w:customStyle="1" w:styleId="12">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kern w:val="0"/>
      <w:sz w:val="32"/>
      <w:szCs w:val="20"/>
      <w:lang w:val="en-US" w:eastAsia="zh-CN" w:bidi="ar-SA"/>
    </w:rPr>
  </w:style>
  <w:style w:type="paragraph" w:customStyle="1" w:styleId="13">
    <w:name w:val="章标题"/>
    <w:next w:val="11"/>
    <w:uiPriority w:val="0"/>
    <w:pPr>
      <w:numPr>
        <w:ilvl w:val="1"/>
        <w:numId w:val="1"/>
      </w:numPr>
      <w:spacing w:before="156" w:beforeLines="50" w:after="156" w:afterLines="50"/>
      <w:jc w:val="both"/>
      <w:outlineLvl w:val="1"/>
    </w:pPr>
    <w:rPr>
      <w:rFonts w:ascii="黑体" w:hAnsi="Times New Roman" w:eastAsia="黑体" w:cs="Times New Roman"/>
      <w:kern w:val="0"/>
      <w:sz w:val="21"/>
      <w:szCs w:val="20"/>
      <w:lang w:val="en-US" w:eastAsia="zh-CN" w:bidi="ar-SA"/>
    </w:rPr>
  </w:style>
  <w:style w:type="paragraph" w:customStyle="1" w:styleId="14">
    <w:name w:val="目次、标准名称标题"/>
    <w:basedOn w:val="12"/>
    <w:next w:val="11"/>
    <w:qFormat/>
    <w:uiPriority w:val="0"/>
    <w:pPr>
      <w:numPr>
        <w:numId w:val="0"/>
      </w:numPr>
      <w:spacing w:line="460" w:lineRule="exact"/>
    </w:pPr>
  </w:style>
  <w:style w:type="paragraph" w:styleId="15">
    <w:name w:val="List Paragraph"/>
    <w:basedOn w:val="1"/>
    <w:qFormat/>
    <w:uiPriority w:val="34"/>
    <w:pPr>
      <w:ind w:firstLine="420" w:firstLineChars="200"/>
    </w:pPr>
  </w:style>
  <w:style w:type="character" w:customStyle="1" w:styleId="16">
    <w:name w:val="段 Char"/>
    <w:basedOn w:val="4"/>
    <w:uiPriority w:val="0"/>
    <w:rPr>
      <w:rFonts w:ascii="宋体"/>
      <w:sz w:val="21"/>
      <w:lang w:val="en-US" w:eastAsia="zh-CN" w:bidi="ar-SA"/>
    </w:rPr>
  </w:style>
  <w:style w:type="paragraph" w:customStyle="1" w:styleId="17">
    <w:name w:val="标准标志"/>
    <w:next w:val="1"/>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kern w:val="0"/>
      <w:sz w:val="96"/>
      <w:szCs w:val="20"/>
      <w:lang w:val="en-US" w:eastAsia="zh-CN" w:bidi="ar-SA"/>
    </w:rPr>
  </w:style>
  <w:style w:type="paragraph" w:customStyle="1" w:styleId="18">
    <w:name w:val="标准称谓"/>
    <w:next w:val="1"/>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kern w:val="0"/>
      <w:sz w:val="52"/>
      <w:szCs w:val="20"/>
      <w:lang w:val="en-US" w:eastAsia="zh-CN" w:bidi="ar-SA"/>
    </w:rPr>
  </w:style>
  <w:style w:type="paragraph" w:customStyle="1" w:styleId="19">
    <w:name w:val="标准文件_段"/>
    <w:link w:val="23"/>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20">
    <w:name w:val="标准文件_前言、引言标题"/>
    <w:next w:val="1"/>
    <w:uiPriority w:val="0"/>
    <w:pPr>
      <w:numPr>
        <w:ilvl w:val="0"/>
        <w:numId w:val="2"/>
      </w:numPr>
      <w:shd w:val="clear" w:color="FFFFFF" w:fill="FFFFFF"/>
      <w:spacing w:after="150" w:afterLines="150"/>
      <w:ind w:left="0" w:firstLine="0"/>
      <w:jc w:val="center"/>
      <w:outlineLvl w:val="0"/>
    </w:pPr>
    <w:rPr>
      <w:rFonts w:ascii="黑体" w:hAnsi="Times New Roman" w:eastAsia="黑体" w:cs="Times New Roman"/>
      <w:kern w:val="0"/>
      <w:sz w:val="32"/>
      <w:szCs w:val="20"/>
      <w:lang w:val="en-US" w:eastAsia="zh-CN" w:bidi="ar-SA"/>
    </w:rPr>
  </w:style>
  <w:style w:type="paragraph" w:customStyle="1" w:styleId="21">
    <w:name w:val="封面标准英文名称"/>
    <w:qFormat/>
    <w:uiPriority w:val="0"/>
    <w:pPr>
      <w:widowControl w:val="0"/>
      <w:spacing w:line="360" w:lineRule="exact"/>
      <w:jc w:val="center"/>
    </w:pPr>
    <w:rPr>
      <w:rFonts w:ascii="Times New Roman" w:hAnsi="Times New Roman" w:eastAsia="宋体" w:cs="Times New Roman"/>
      <w:kern w:val="0"/>
      <w:sz w:val="28"/>
      <w:szCs w:val="20"/>
      <w:lang w:val="en-US" w:eastAsia="zh-CN" w:bidi="ar-SA"/>
    </w:rPr>
  </w:style>
  <w:style w:type="paragraph" w:customStyle="1" w:styleId="22">
    <w:name w:val="其他发布部门"/>
    <w:basedOn w:val="1"/>
    <w:uiPriority w:val="0"/>
    <w:pPr>
      <w:framePr w:w="7433" w:h="585" w:hRule="exact" w:hSpace="180" w:vSpace="180" w:wrap="around" w:vAnchor="margin" w:hAnchor="margin" w:xAlign="center" w:y="14401" w:anchorLock="1"/>
      <w:widowControl/>
      <w:spacing w:line="0" w:lineRule="atLeast"/>
      <w:jc w:val="center"/>
    </w:pPr>
    <w:rPr>
      <w:rFonts w:ascii="黑体" w:hAnsi="Times New Roman" w:eastAsia="黑体"/>
      <w:w w:val="135"/>
      <w:kern w:val="0"/>
      <w:sz w:val="36"/>
      <w:szCs w:val="20"/>
    </w:rPr>
  </w:style>
  <w:style w:type="character" w:customStyle="1" w:styleId="23">
    <w:name w:val="标准文件_段 Char"/>
    <w:link w:val="19"/>
    <w:uiPriority w:val="0"/>
    <w:rPr>
      <w:rFonts w:ascii="宋体" w:hAnsi="Times New Roman" w:eastAsia="宋体" w:cs="Times New Roman"/>
      <w:kern w:val="0"/>
      <w:szCs w:val="20"/>
    </w:rPr>
  </w:style>
  <w:style w:type="paragraph" w:customStyle="1" w:styleId="24">
    <w:name w:val="其他发布日期"/>
    <w:basedOn w:val="1"/>
    <w:uiPriority w:val="0"/>
    <w:pPr>
      <w:framePr w:w="3997" w:h="471" w:hRule="exact" w:vSpace="181" w:wrap="around" w:vAnchor="page" w:hAnchor="page" w:x="1419" w:y="14097" w:anchorLock="1"/>
      <w:widowControl/>
      <w:jc w:val="left"/>
    </w:pPr>
    <w:rPr>
      <w:rFonts w:ascii="Times New Roman" w:hAnsi="Times New Roman" w:eastAsia="黑体"/>
      <w:kern w:val="0"/>
      <w:sz w:val="28"/>
      <w:szCs w:val="20"/>
    </w:rPr>
  </w:style>
  <w:style w:type="paragraph" w:customStyle="1" w:styleId="25">
    <w:name w:val="其他实施日期"/>
    <w:basedOn w:val="1"/>
    <w:uiPriority w:val="0"/>
    <w:pPr>
      <w:framePr w:w="3997" w:h="471" w:hRule="exact" w:vSpace="181" w:wrap="around" w:vAnchor="page" w:hAnchor="page" w:x="7089" w:y="14097" w:anchorLock="1"/>
      <w:widowControl/>
      <w:jc w:val="right"/>
    </w:pPr>
    <w:rPr>
      <w:rFonts w:ascii="Times New Roman" w:hAnsi="Times New Roman" w:eastAsia="黑体"/>
      <w:kern w:val="0"/>
      <w:sz w:val="28"/>
      <w:szCs w:val="20"/>
    </w:rPr>
  </w:style>
  <w:style w:type="paragraph" w:customStyle="1" w:styleId="26">
    <w:name w:val="标准文件_文件编号"/>
    <w:basedOn w:val="19"/>
    <w:qFormat/>
    <w:uiPriority w:val="0"/>
    <w:pPr>
      <w:framePr w:w="9356" w:h="624" w:hRule="exact" w:hSpace="181" w:vSpace="181" w:wrap="around" w:vAnchor="page" w:hAnchor="page" w:x="1419" w:y="3284"/>
      <w:wordWrap w:val="0"/>
      <w:spacing w:line="280" w:lineRule="exact"/>
      <w:ind w:firstLine="0" w:firstLineChars="0"/>
      <w:jc w:val="right"/>
    </w:pPr>
    <w:rPr>
      <w:rFonts w:ascii="黑体" w:eastAsia="黑体"/>
      <w:bCs/>
      <w:sz w:val="28"/>
      <w:szCs w:val="28"/>
    </w:rPr>
  </w:style>
  <w:style w:type="paragraph" w:customStyle="1" w:styleId="27">
    <w:name w:val="标准文件_替换文件编号"/>
    <w:basedOn w:val="26"/>
    <w:qFormat/>
    <w:uiPriority w:val="0"/>
    <w:pPr>
      <w:spacing w:before="57"/>
    </w:pPr>
    <w:rPr>
      <w:sz w:val="21"/>
    </w:rPr>
  </w:style>
  <w:style w:type="paragraph" w:customStyle="1" w:styleId="28">
    <w:name w:val="标准文件_文件名称"/>
    <w:basedOn w:val="19"/>
    <w:next w:val="19"/>
    <w:qFormat/>
    <w:uiPriority w:val="0"/>
    <w:pPr>
      <w:framePr w:w="9639" w:h="6976" w:hRule="exact" w:wrap="around" w:vAnchor="page" w:hAnchor="page" w:y="6408"/>
      <w:autoSpaceDE/>
      <w:autoSpaceDN/>
      <w:spacing w:line="700" w:lineRule="exact"/>
      <w:ind w:firstLine="0" w:firstLineChars="0"/>
      <w:jc w:val="center"/>
    </w:pPr>
    <w:rPr>
      <w:rFonts w:ascii="黑体" w:hAnsi="黑体" w:eastAsia="黑体"/>
      <w:bCs/>
      <w:sz w:val="52"/>
    </w:rPr>
  </w:style>
  <w:style w:type="paragraph" w:customStyle="1" w:styleId="29">
    <w:name w:val="标准文件_引言一级条标题"/>
    <w:basedOn w:val="19"/>
    <w:next w:val="19"/>
    <w:qFormat/>
    <w:uiPriority w:val="0"/>
    <w:pPr>
      <w:numPr>
        <w:ilvl w:val="1"/>
        <w:numId w:val="2"/>
      </w:numPr>
      <w:tabs>
        <w:tab w:val="left" w:pos="360"/>
      </w:tabs>
      <w:spacing w:before="50" w:beforeLines="50" w:after="50" w:afterLines="50"/>
      <w:ind w:firstLine="200" w:firstLineChars="0"/>
    </w:pPr>
    <w:rPr>
      <w:rFonts w:ascii="黑体" w:eastAsia="黑体"/>
    </w:rPr>
  </w:style>
  <w:style w:type="paragraph" w:customStyle="1" w:styleId="30">
    <w:name w:val="标准文件_引言二级条标题"/>
    <w:basedOn w:val="19"/>
    <w:next w:val="19"/>
    <w:qFormat/>
    <w:uiPriority w:val="0"/>
    <w:pPr>
      <w:numPr>
        <w:ilvl w:val="2"/>
        <w:numId w:val="2"/>
      </w:numPr>
      <w:tabs>
        <w:tab w:val="left" w:pos="360"/>
      </w:tabs>
      <w:spacing w:before="50" w:beforeLines="50" w:after="50" w:afterLines="50"/>
      <w:ind w:firstLine="200" w:firstLineChars="0"/>
    </w:pPr>
    <w:rPr>
      <w:rFonts w:ascii="黑体" w:eastAsia="黑体"/>
    </w:rPr>
  </w:style>
  <w:style w:type="paragraph" w:customStyle="1" w:styleId="31">
    <w:name w:val="标准文件_引言三级条标题"/>
    <w:basedOn w:val="19"/>
    <w:next w:val="19"/>
    <w:qFormat/>
    <w:uiPriority w:val="0"/>
    <w:pPr>
      <w:numPr>
        <w:ilvl w:val="3"/>
        <w:numId w:val="2"/>
      </w:numPr>
      <w:tabs>
        <w:tab w:val="left" w:pos="360"/>
      </w:tabs>
      <w:spacing w:before="50" w:beforeLines="50" w:after="50" w:afterLines="50"/>
      <w:ind w:firstLine="200" w:firstLineChars="0"/>
    </w:pPr>
    <w:rPr>
      <w:rFonts w:ascii="黑体" w:eastAsia="黑体"/>
    </w:rPr>
  </w:style>
  <w:style w:type="paragraph" w:customStyle="1" w:styleId="32">
    <w:name w:val="标准文件_引言四级条标题"/>
    <w:basedOn w:val="19"/>
    <w:next w:val="19"/>
    <w:qFormat/>
    <w:uiPriority w:val="0"/>
    <w:pPr>
      <w:numPr>
        <w:ilvl w:val="4"/>
        <w:numId w:val="2"/>
      </w:numPr>
      <w:tabs>
        <w:tab w:val="left" w:pos="360"/>
      </w:tabs>
      <w:spacing w:before="50" w:beforeLines="50" w:after="50" w:afterLines="50"/>
      <w:ind w:firstLine="200" w:firstLineChars="0"/>
    </w:pPr>
    <w:rPr>
      <w:rFonts w:ascii="黑体" w:eastAsia="黑体"/>
    </w:rPr>
  </w:style>
  <w:style w:type="paragraph" w:customStyle="1" w:styleId="33">
    <w:name w:val="标准文件_引言五级条标题"/>
    <w:basedOn w:val="19"/>
    <w:next w:val="19"/>
    <w:qFormat/>
    <w:uiPriority w:val="0"/>
    <w:pPr>
      <w:numPr>
        <w:ilvl w:val="5"/>
        <w:numId w:val="2"/>
      </w:numPr>
      <w:tabs>
        <w:tab w:val="left" w:pos="360"/>
      </w:tabs>
      <w:spacing w:before="50" w:beforeLines="50" w:after="50" w:afterLines="50"/>
      <w:ind w:firstLine="200" w:firstLineChars="0"/>
    </w:pPr>
    <w:rPr>
      <w:rFonts w:ascii="黑体" w:eastAsia="黑体"/>
    </w:rPr>
  </w:style>
  <w:style w:type="character" w:customStyle="1" w:styleId="34">
    <w:name w:val="发布"/>
    <w:basedOn w:val="4"/>
    <w:uiPriority w:val="0"/>
    <w:rPr>
      <w:rFonts w:ascii="黑体" w:eastAsia="黑体"/>
      <w:spacing w:val="85"/>
      <w:w w:val="100"/>
      <w:position w:val="3"/>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D261C6-BBEF-4E68-A52A-61778DAF9D0B}">
  <ds:schemaRefs/>
</ds:datastoreItem>
</file>

<file path=docProps/app.xml><?xml version="1.0" encoding="utf-8"?>
<Properties xmlns="http://schemas.openxmlformats.org/officeDocument/2006/extended-properties" xmlns:vt="http://schemas.openxmlformats.org/officeDocument/2006/docPropsVTypes">
  <Template>Normal.dotm</Template>
  <Pages>7</Pages>
  <Words>420</Words>
  <Characters>2394</Characters>
  <Lines>19</Lines>
  <Paragraphs>5</Paragraphs>
  <TotalTime>0</TotalTime>
  <ScaleCrop>false</ScaleCrop>
  <LinksUpToDate>false</LinksUpToDate>
  <CharactersWithSpaces>2809</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2022-04-25T20:02:00Z</dcterms:created>
  <dc:creator>admin</dc:creator>
  <cp:lastModifiedBy>Administrator</cp:lastModifiedBy>
  <dcterms:modified xsi:type="dcterms:W3CDTF">2022-10-21T04:26:53Z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