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utoSpaceDE w:val="0"/>
        <w:autoSpaceDN w:val="0"/>
        <w:spacing w:line="640" w:lineRule="exact"/>
        <w:ind w:left="0" w:leftChars="0" w:firstLine="0" w:firstLineChars="0"/>
        <w:jc w:val="center"/>
        <w:rPr>
          <w:rFonts w:hint="eastAsia" w:ascii="方正小标宋简体" w:hAnsi="方正小标宋简体" w:eastAsia="方正小标宋简体" w:cs="方正小标宋简体"/>
          <w:b/>
          <w:bCs/>
          <w:color w:val="auto"/>
          <w:sz w:val="44"/>
          <w:szCs w:val="44"/>
          <w:lang w:val="en-US" w:eastAsia="zh-CN"/>
        </w:rPr>
      </w:pPr>
    </w:p>
    <w:p>
      <w:pPr>
        <w:overflowPunct w:val="0"/>
        <w:autoSpaceDE w:val="0"/>
        <w:autoSpaceDN w:val="0"/>
        <w:spacing w:line="640" w:lineRule="exact"/>
        <w:ind w:left="0" w:leftChars="0" w:firstLine="0" w:firstLineChars="0"/>
        <w:jc w:val="center"/>
        <w:rPr>
          <w:rFonts w:hint="eastAsia" w:ascii="方正小标宋简体" w:hAnsi="方正小标宋简体" w:eastAsia="方正小标宋简体" w:cs="方正小标宋简体"/>
          <w:b/>
          <w:bCs/>
          <w:color w:val="auto"/>
          <w:sz w:val="44"/>
          <w:szCs w:val="44"/>
          <w:lang w:val="en-US" w:eastAsia="zh-CN"/>
        </w:rPr>
      </w:pPr>
    </w:p>
    <w:p>
      <w:pPr>
        <w:keepNext w:val="0"/>
        <w:keepLines w:val="0"/>
        <w:pageBreakBefore w:val="0"/>
        <w:widowControl w:val="0"/>
        <w:kinsoku/>
        <w:wordWrap/>
        <w:overflowPunct w:val="0"/>
        <w:topLinePunct w:val="0"/>
        <w:autoSpaceDE w:val="0"/>
        <w:autoSpaceDN w:val="0"/>
        <w:bidi w:val="0"/>
        <w:adjustRightInd/>
        <w:snapToGrid/>
        <w:spacing w:line="1200" w:lineRule="exact"/>
        <w:ind w:left="0" w:leftChars="0" w:firstLine="0" w:firstLineChars="0"/>
        <w:jc w:val="center"/>
        <w:textAlignment w:val="auto"/>
        <w:rPr>
          <w:rFonts w:hint="eastAsia" w:ascii="方正小标宋简体" w:hAnsi="方正小标宋简体" w:eastAsia="方正小标宋简体" w:cs="方正小标宋简体"/>
          <w:b w:val="0"/>
          <w:bCs w:val="0"/>
          <w:color w:val="auto"/>
          <w:sz w:val="72"/>
          <w:szCs w:val="72"/>
        </w:rPr>
      </w:pPr>
      <w:r>
        <w:rPr>
          <w:rFonts w:hint="eastAsia" w:ascii="方正小标宋简体" w:hAnsi="方正小标宋简体" w:eastAsia="方正小标宋简体" w:cs="方正小标宋简体"/>
          <w:b w:val="0"/>
          <w:bCs w:val="0"/>
          <w:color w:val="auto"/>
          <w:sz w:val="72"/>
          <w:szCs w:val="72"/>
          <w:lang w:val="en-US" w:eastAsia="zh-CN"/>
        </w:rPr>
        <w:t>池州市</w:t>
      </w:r>
      <w:r>
        <w:rPr>
          <w:rFonts w:hint="eastAsia" w:ascii="方正小标宋简体" w:hAnsi="方正小标宋简体" w:eastAsia="方正小标宋简体" w:cs="方正小标宋简体"/>
          <w:b w:val="0"/>
          <w:bCs w:val="0"/>
          <w:color w:val="auto"/>
          <w:sz w:val="72"/>
          <w:szCs w:val="72"/>
        </w:rPr>
        <w:t>高标准农田建设规划</w:t>
      </w:r>
    </w:p>
    <w:p>
      <w:pPr>
        <w:keepNext w:val="0"/>
        <w:keepLines w:val="0"/>
        <w:pageBreakBefore w:val="0"/>
        <w:widowControl w:val="0"/>
        <w:kinsoku/>
        <w:wordWrap/>
        <w:overflowPunct w:val="0"/>
        <w:topLinePunct w:val="0"/>
        <w:autoSpaceDE w:val="0"/>
        <w:autoSpaceDN w:val="0"/>
        <w:bidi w:val="0"/>
        <w:adjustRightInd/>
        <w:snapToGrid/>
        <w:spacing w:line="1200" w:lineRule="exact"/>
        <w:ind w:left="0" w:leftChars="0" w:firstLine="0" w:firstLineChars="0"/>
        <w:jc w:val="center"/>
        <w:textAlignment w:val="auto"/>
        <w:rPr>
          <w:rFonts w:hint="eastAsia" w:ascii="方正小标宋简体" w:hAnsi="方正小标宋简体" w:eastAsia="方正小标宋简体" w:cs="方正小标宋简体"/>
          <w:b w:val="0"/>
          <w:bCs w:val="0"/>
          <w:color w:val="auto"/>
          <w:sz w:val="72"/>
          <w:szCs w:val="72"/>
        </w:rPr>
      </w:pPr>
      <w:r>
        <w:rPr>
          <w:rFonts w:hint="eastAsia" w:ascii="方正小标宋简体" w:hAnsi="方正小标宋简体" w:eastAsia="方正小标宋简体" w:cs="方正小标宋简体"/>
          <w:b w:val="0"/>
          <w:bCs w:val="0"/>
          <w:color w:val="auto"/>
          <w:sz w:val="72"/>
          <w:szCs w:val="72"/>
        </w:rPr>
        <w:t>（2021</w:t>
      </w:r>
      <w:r>
        <w:rPr>
          <w:rFonts w:hint="eastAsia" w:ascii="方正小标宋简体" w:hAnsi="方正小标宋简体" w:eastAsia="方正小标宋简体" w:cs="方正小标宋简体"/>
          <w:b w:val="0"/>
          <w:bCs w:val="0"/>
          <w:color w:val="auto"/>
          <w:sz w:val="72"/>
          <w:szCs w:val="72"/>
          <w:lang w:eastAsia="zh-CN"/>
        </w:rPr>
        <w:t>—</w:t>
      </w:r>
      <w:r>
        <w:rPr>
          <w:rFonts w:hint="eastAsia" w:ascii="方正小标宋简体" w:hAnsi="方正小标宋简体" w:eastAsia="方正小标宋简体" w:cs="方正小标宋简体"/>
          <w:b w:val="0"/>
          <w:bCs w:val="0"/>
          <w:color w:val="auto"/>
          <w:sz w:val="72"/>
          <w:szCs w:val="72"/>
        </w:rPr>
        <w:t>2030年）</w:t>
      </w:r>
    </w:p>
    <w:p>
      <w:pPr>
        <w:keepNext w:val="0"/>
        <w:keepLines w:val="0"/>
        <w:pageBreakBefore w:val="0"/>
        <w:widowControl w:val="0"/>
        <w:kinsoku/>
        <w:wordWrap/>
        <w:overflowPunct w:val="0"/>
        <w:topLinePunct w:val="0"/>
        <w:autoSpaceDE w:val="0"/>
        <w:autoSpaceDN w:val="0"/>
        <w:bidi w:val="0"/>
        <w:adjustRightInd/>
        <w:snapToGrid/>
        <w:spacing w:line="1200" w:lineRule="exact"/>
        <w:jc w:val="center"/>
        <w:textAlignment w:val="auto"/>
        <w:rPr>
          <w:rFonts w:ascii="Times New Roman" w:hAnsi="Times New Roman" w:eastAsia="方正小标宋简体"/>
          <w:color w:val="auto"/>
          <w:sz w:val="72"/>
          <w:szCs w:val="72"/>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0" w:firstLineChars="200"/>
        <w:rPr>
          <w:rFonts w:ascii="Times New Roman" w:hAnsi="Times New Roman"/>
          <w:snapToGrid w:val="0"/>
          <w:color w:val="auto"/>
          <w:kern w:val="0"/>
        </w:rPr>
      </w:pPr>
    </w:p>
    <w:p>
      <w:pPr>
        <w:overflowPunct w:val="0"/>
        <w:autoSpaceDE w:val="0"/>
        <w:autoSpaceDN w:val="0"/>
        <w:adjustRightInd w:val="0"/>
        <w:snapToGrid w:val="0"/>
        <w:spacing w:line="600" w:lineRule="exact"/>
        <w:ind w:firstLine="722" w:firstLineChars="200"/>
        <w:rPr>
          <w:rFonts w:ascii="Times New Roman" w:hAnsi="Times New Roman"/>
          <w:b/>
          <w:snapToGrid w:val="0"/>
          <w:color w:val="auto"/>
          <w:kern w:val="0"/>
        </w:rPr>
      </w:pPr>
    </w:p>
    <w:p>
      <w:pPr>
        <w:overflowPunct w:val="0"/>
        <w:autoSpaceDE w:val="0"/>
        <w:autoSpaceDN w:val="0"/>
        <w:adjustRightInd w:val="0"/>
        <w:snapToGrid w:val="0"/>
        <w:spacing w:line="600" w:lineRule="exact"/>
        <w:ind w:left="0" w:leftChars="0" w:firstLine="0" w:firstLineChars="0"/>
        <w:jc w:val="center"/>
        <w:rPr>
          <w:rFonts w:hint="eastAsia" w:ascii="楷体_GB2312" w:hAnsi="楷体_GB2312" w:eastAsia="楷体_GB2312" w:cs="楷体_GB2312"/>
          <w:snapToGrid w:val="0"/>
          <w:color w:val="auto"/>
          <w:kern w:val="0"/>
          <w:sz w:val="44"/>
          <w:szCs w:val="44"/>
        </w:rPr>
      </w:pPr>
      <w:r>
        <w:rPr>
          <w:rFonts w:hint="eastAsia" w:ascii="楷体_GB2312" w:hAnsi="楷体_GB2312" w:eastAsia="楷体_GB2312" w:cs="楷体_GB2312"/>
          <w:snapToGrid w:val="0"/>
          <w:color w:val="auto"/>
          <w:kern w:val="0"/>
          <w:sz w:val="44"/>
          <w:szCs w:val="44"/>
        </w:rPr>
        <w:t>二〇二二年</w:t>
      </w:r>
      <w:r>
        <w:rPr>
          <w:rFonts w:hint="eastAsia" w:ascii="楷体_GB2312" w:hAnsi="楷体_GB2312" w:eastAsia="楷体_GB2312" w:cs="楷体_GB2312"/>
          <w:snapToGrid w:val="0"/>
          <w:color w:val="auto"/>
          <w:kern w:val="0"/>
          <w:sz w:val="44"/>
          <w:szCs w:val="44"/>
          <w:lang w:val="en-US" w:eastAsia="zh-CN"/>
        </w:rPr>
        <w:t>九</w:t>
      </w:r>
      <w:r>
        <w:rPr>
          <w:rFonts w:hint="eastAsia" w:ascii="楷体_GB2312" w:hAnsi="楷体_GB2312" w:eastAsia="楷体_GB2312" w:cs="楷体_GB2312"/>
          <w:snapToGrid w:val="0"/>
          <w:color w:val="auto"/>
          <w:kern w:val="0"/>
          <w:sz w:val="44"/>
          <w:szCs w:val="44"/>
        </w:rPr>
        <w:t>月</w:t>
      </w:r>
    </w:p>
    <w:p>
      <w:pPr>
        <w:rPr>
          <w:color w:val="auto"/>
        </w:rPr>
      </w:pPr>
    </w:p>
    <w:p>
      <w:pPr>
        <w:ind w:left="0" w:leftChars="0" w:firstLine="0" w:firstLineChars="0"/>
        <w:rPr>
          <w:rFonts w:hint="default" w:eastAsia="仿宋"/>
          <w:color w:val="auto"/>
          <w:lang w:val="en-US" w:eastAsia="zh-CN"/>
        </w:rPr>
        <w:sectPr>
          <w:footerReference r:id="rId5" w:type="default"/>
          <w:pgSz w:w="11910" w:h="16840"/>
          <w:pgMar w:top="1871" w:right="1502" w:bottom="1587" w:left="1502" w:header="0" w:footer="1076" w:gutter="0"/>
          <w:lnNumType w:countBy="0" w:distance="360"/>
          <w:pgNumType w:fmt="numberInDash"/>
          <w:cols w:space="720" w:num="1"/>
        </w:sectPr>
      </w:pPr>
    </w:p>
    <w:sdt>
      <w:sdtPr>
        <w:rPr>
          <w:rFonts w:hint="eastAsia" w:ascii="方正小标宋简体" w:hAnsi="方正小标宋简体" w:eastAsia="方正小标宋简体" w:cs="方正小标宋简体"/>
          <w:kern w:val="2"/>
          <w:sz w:val="44"/>
          <w:szCs w:val="44"/>
          <w:lang w:val="en-US" w:eastAsia="zh-CN" w:bidi="ar-SA"/>
        </w:rPr>
        <w:id w:val="147454193"/>
        <w:docPartObj>
          <w:docPartGallery w:val="Table of Contents"/>
          <w:docPartUnique/>
        </w:docPartObj>
      </w:sdtPr>
      <w:sdtEndPr>
        <w:rPr>
          <w:rFonts w:hint="eastAsia" w:asciiTheme="minorHAnsi" w:hAnsiTheme="minorHAnsi" w:eastAsiaTheme="minorEastAsia" w:cstheme="minorBidi"/>
          <w:kern w:val="2"/>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eastAsia" w:ascii="方正小标宋简体" w:hAnsi="方正小标宋简体" w:eastAsia="方正小标宋简体" w:cs="方正小标宋简体"/>
              <w:sz w:val="44"/>
              <w:szCs w:val="44"/>
            </w:rPr>
          </w:pPr>
          <w:bookmarkStart w:id="0" w:name="_Toc7180_WPSOffice_Type2"/>
          <w:r>
            <w:rPr>
              <w:rFonts w:hint="eastAsia" w:ascii="方正小标宋简体" w:hAnsi="方正小标宋简体" w:eastAsia="方正小标宋简体" w:cs="方正小标宋简体"/>
              <w:sz w:val="44"/>
              <w:szCs w:val="44"/>
            </w:rPr>
            <w:t>目</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录</w:t>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_Toc30609_WPSOffice_Level1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3116ecd0-0d9c-49c7-a433-122751d771cb}"/>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前   言</w:t>
              </w:r>
            </w:sdtContent>
          </w:sdt>
          <w:r>
            <w:rPr>
              <w:rFonts w:hint="eastAsia" w:ascii="仿宋" w:hAnsi="仿宋" w:eastAsia="仿宋" w:cs="仿宋"/>
              <w:b/>
              <w:bCs/>
              <w:sz w:val="28"/>
              <w:szCs w:val="28"/>
            </w:rPr>
            <w:tab/>
          </w:r>
          <w:bookmarkStart w:id="1" w:name="_Toc30609_WPSOffice_Level1Page"/>
          <w:r>
            <w:rPr>
              <w:rFonts w:hint="eastAsia" w:ascii="仿宋" w:hAnsi="仿宋" w:eastAsia="仿宋" w:cs="仿宋"/>
              <w:b/>
              <w:bCs/>
              <w:sz w:val="28"/>
              <w:szCs w:val="28"/>
            </w:rPr>
            <w:t>3</w:t>
          </w:r>
          <w:bookmarkEnd w:id="1"/>
          <w:r>
            <w:rPr>
              <w:rFonts w:hint="eastAsia" w:ascii="仿宋" w:hAnsi="仿宋" w:eastAsia="仿宋" w:cs="仿宋"/>
              <w:b/>
              <w:bCs/>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_Toc7180_WPSOffice_Level1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36e58b5e-0298-49c2-8ca8-c778c0c392d7}"/>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第一章 规划背景</w:t>
              </w:r>
            </w:sdtContent>
          </w:sdt>
          <w:r>
            <w:rPr>
              <w:rFonts w:hint="eastAsia" w:ascii="仿宋" w:hAnsi="仿宋" w:eastAsia="仿宋" w:cs="仿宋"/>
              <w:b/>
              <w:bCs/>
              <w:sz w:val="28"/>
              <w:szCs w:val="28"/>
            </w:rPr>
            <w:tab/>
          </w:r>
          <w:bookmarkStart w:id="2" w:name="_Toc7180_WPSOffice_Level1Page"/>
          <w:r>
            <w:rPr>
              <w:rFonts w:hint="eastAsia" w:ascii="仿宋" w:hAnsi="仿宋" w:eastAsia="仿宋" w:cs="仿宋"/>
              <w:b/>
              <w:bCs/>
              <w:sz w:val="28"/>
              <w:szCs w:val="28"/>
            </w:rPr>
            <w:t>5</w:t>
          </w:r>
          <w:bookmarkEnd w:id="2"/>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_Toc7180_WPSOffice_Level2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ce623ba7-fc3c-41e4-a50e-767cbd993170}"/>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 建设成效</w:t>
              </w:r>
            </w:sdtContent>
          </w:sdt>
          <w:r>
            <w:rPr>
              <w:rFonts w:hint="eastAsia" w:ascii="仿宋" w:hAnsi="仿宋" w:eastAsia="仿宋" w:cs="仿宋"/>
              <w:sz w:val="28"/>
              <w:szCs w:val="28"/>
            </w:rPr>
            <w:tab/>
          </w:r>
          <w:bookmarkStart w:id="3" w:name="_Toc7180_WPSOffice_Level2Page"/>
          <w:r>
            <w:rPr>
              <w:rFonts w:hint="eastAsia" w:ascii="仿宋" w:hAnsi="仿宋" w:eastAsia="仿宋" w:cs="仿宋"/>
              <w:sz w:val="28"/>
              <w:szCs w:val="28"/>
            </w:rPr>
            <w:t>6</w:t>
          </w:r>
          <w:bookmarkEnd w:id="3"/>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_Toc5088_WPSOffice_Level2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399df449-92c6-4043-aab3-de7841f87b4d}"/>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 存在问题</w:t>
              </w:r>
            </w:sdtContent>
          </w:sdt>
          <w:r>
            <w:rPr>
              <w:rFonts w:hint="eastAsia" w:ascii="仿宋" w:hAnsi="仿宋" w:eastAsia="仿宋" w:cs="仿宋"/>
              <w:sz w:val="28"/>
              <w:szCs w:val="28"/>
            </w:rPr>
            <w:tab/>
          </w:r>
          <w:bookmarkStart w:id="4" w:name="_Toc5088_WPSOffice_Level2Page"/>
          <w:r>
            <w:rPr>
              <w:rFonts w:hint="eastAsia" w:ascii="仿宋" w:hAnsi="仿宋" w:eastAsia="仿宋" w:cs="仿宋"/>
              <w:sz w:val="28"/>
              <w:szCs w:val="28"/>
            </w:rPr>
            <w:t>7</w:t>
          </w:r>
          <w:bookmarkEnd w:id="4"/>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_Toc7082_WPSOffice_Level2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db3dbbad-350a-4020-8f83-c9446a7b1fd7}"/>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三、 有利条件</w:t>
              </w:r>
            </w:sdtContent>
          </w:sdt>
          <w:r>
            <w:rPr>
              <w:rFonts w:hint="eastAsia" w:ascii="仿宋" w:hAnsi="仿宋" w:eastAsia="仿宋" w:cs="仿宋"/>
              <w:sz w:val="28"/>
              <w:szCs w:val="28"/>
            </w:rPr>
            <w:tab/>
          </w:r>
          <w:bookmarkStart w:id="5" w:name="_Toc7082_WPSOffice_Level2Page"/>
          <w:r>
            <w:rPr>
              <w:rFonts w:hint="eastAsia" w:ascii="仿宋" w:hAnsi="仿宋" w:eastAsia="仿宋" w:cs="仿宋"/>
              <w:sz w:val="28"/>
              <w:szCs w:val="28"/>
            </w:rPr>
            <w:t>9</w:t>
          </w:r>
          <w:bookmarkEnd w:id="5"/>
          <w:r>
            <w:rPr>
              <w:rFonts w:hint="eastAsia" w:ascii="仿宋" w:hAnsi="仿宋" w:eastAsia="仿宋" w:cs="仿宋"/>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_Toc5088_WPSOffice_Level1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12b5b91e-15b3-447d-a7b1-e4d2c0e42c24}"/>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第二章 总体要求</w:t>
              </w:r>
            </w:sdtContent>
          </w:sdt>
          <w:r>
            <w:rPr>
              <w:rFonts w:hint="eastAsia" w:ascii="仿宋" w:hAnsi="仿宋" w:eastAsia="仿宋" w:cs="仿宋"/>
              <w:b/>
              <w:bCs/>
              <w:sz w:val="28"/>
              <w:szCs w:val="28"/>
            </w:rPr>
            <w:tab/>
          </w:r>
          <w:bookmarkStart w:id="6" w:name="_Toc5088_WPSOffice_Level1Page"/>
          <w:r>
            <w:rPr>
              <w:rFonts w:hint="eastAsia" w:ascii="仿宋" w:hAnsi="仿宋" w:eastAsia="仿宋" w:cs="仿宋"/>
              <w:b/>
              <w:bCs/>
              <w:sz w:val="28"/>
              <w:szCs w:val="28"/>
            </w:rPr>
            <w:t>11</w:t>
          </w:r>
          <w:bookmarkEnd w:id="6"/>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_Toc8043_WPSOffice_Level2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a1973271-ec76-433d-ab37-a5f65252144b}"/>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 指导思想</w:t>
              </w:r>
            </w:sdtContent>
          </w:sdt>
          <w:r>
            <w:rPr>
              <w:rFonts w:hint="eastAsia" w:ascii="仿宋" w:hAnsi="仿宋" w:eastAsia="仿宋" w:cs="仿宋"/>
              <w:sz w:val="28"/>
              <w:szCs w:val="28"/>
            </w:rPr>
            <w:tab/>
          </w:r>
          <w:bookmarkStart w:id="7" w:name="_Toc8043_WPSOffice_Level2Page"/>
          <w:r>
            <w:rPr>
              <w:rFonts w:hint="eastAsia" w:ascii="仿宋" w:hAnsi="仿宋" w:eastAsia="仿宋" w:cs="仿宋"/>
              <w:sz w:val="28"/>
              <w:szCs w:val="28"/>
            </w:rPr>
            <w:t>11</w:t>
          </w:r>
          <w:bookmarkEnd w:id="7"/>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_Toc18426_WPSOffice_Level2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e53c99aa-847d-4726-bc0d-af9cd4abd1d5}"/>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 基本原则</w:t>
              </w:r>
            </w:sdtContent>
          </w:sdt>
          <w:r>
            <w:rPr>
              <w:rFonts w:hint="eastAsia" w:ascii="仿宋" w:hAnsi="仿宋" w:eastAsia="仿宋" w:cs="仿宋"/>
              <w:sz w:val="28"/>
              <w:szCs w:val="28"/>
            </w:rPr>
            <w:tab/>
          </w:r>
          <w:bookmarkStart w:id="8" w:name="_Toc18426_WPSOffice_Level2Page"/>
          <w:r>
            <w:rPr>
              <w:rFonts w:hint="eastAsia" w:ascii="仿宋" w:hAnsi="仿宋" w:eastAsia="仿宋" w:cs="仿宋"/>
              <w:sz w:val="28"/>
              <w:szCs w:val="28"/>
            </w:rPr>
            <w:t>12</w:t>
          </w:r>
          <w:bookmarkEnd w:id="8"/>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_Toc25416_WPSOffice_Level2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c917c454-dca0-41d5-a3d7-e4933db056a9}"/>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三、 总体目标</w:t>
              </w:r>
            </w:sdtContent>
          </w:sdt>
          <w:r>
            <w:rPr>
              <w:rFonts w:hint="eastAsia" w:ascii="仿宋" w:hAnsi="仿宋" w:eastAsia="仿宋" w:cs="仿宋"/>
              <w:sz w:val="28"/>
              <w:szCs w:val="28"/>
            </w:rPr>
            <w:tab/>
          </w:r>
          <w:bookmarkStart w:id="9" w:name="_Toc25416_WPSOffice_Level2Page"/>
          <w:r>
            <w:rPr>
              <w:rFonts w:hint="eastAsia" w:ascii="仿宋" w:hAnsi="仿宋" w:eastAsia="仿宋" w:cs="仿宋"/>
              <w:sz w:val="28"/>
              <w:szCs w:val="28"/>
            </w:rPr>
            <w:t>14</w:t>
          </w:r>
          <w:bookmarkEnd w:id="9"/>
          <w:r>
            <w:rPr>
              <w:rFonts w:hint="eastAsia" w:ascii="仿宋" w:hAnsi="仿宋" w:eastAsia="仿宋" w:cs="仿宋"/>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_Toc7082_WPSOffice_Level1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4e02583e-e137-4a9b-85b2-9a2822e06499}"/>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第三章 建设标准和建设内容</w:t>
              </w:r>
            </w:sdtContent>
          </w:sdt>
          <w:r>
            <w:rPr>
              <w:rFonts w:hint="eastAsia" w:ascii="仿宋" w:hAnsi="仿宋" w:eastAsia="仿宋" w:cs="仿宋"/>
              <w:b/>
              <w:bCs/>
              <w:sz w:val="28"/>
              <w:szCs w:val="28"/>
            </w:rPr>
            <w:tab/>
          </w:r>
          <w:bookmarkStart w:id="10" w:name="_Toc7082_WPSOffice_Level1Page"/>
          <w:r>
            <w:rPr>
              <w:rFonts w:hint="eastAsia" w:ascii="仿宋" w:hAnsi="仿宋" w:eastAsia="仿宋" w:cs="仿宋"/>
              <w:b/>
              <w:bCs/>
              <w:sz w:val="28"/>
              <w:szCs w:val="28"/>
            </w:rPr>
            <w:t>16</w:t>
          </w:r>
          <w:bookmarkEnd w:id="10"/>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_Toc3166_WPSOffice_Level2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20f546db-7c3f-42a1-af7c-10937b2d1a94}"/>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一、建设标准</w:t>
              </w:r>
            </w:sdtContent>
          </w:sdt>
          <w:r>
            <w:rPr>
              <w:rFonts w:hint="eastAsia" w:ascii="仿宋" w:hAnsi="仿宋" w:eastAsia="仿宋" w:cs="仿宋"/>
              <w:sz w:val="28"/>
              <w:szCs w:val="28"/>
            </w:rPr>
            <w:tab/>
          </w:r>
          <w:bookmarkStart w:id="11" w:name="_Toc3166_WPSOffice_Level2Page"/>
          <w:r>
            <w:rPr>
              <w:rFonts w:hint="eastAsia" w:ascii="仿宋" w:hAnsi="仿宋" w:eastAsia="仿宋" w:cs="仿宋"/>
              <w:sz w:val="28"/>
              <w:szCs w:val="28"/>
            </w:rPr>
            <w:t>16</w:t>
          </w:r>
          <w:bookmarkEnd w:id="11"/>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_Toc24721_WPSOffice_Level2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d723e99f-5d7d-4b51-845b-f55b50f07c53}"/>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二、建设内容</w:t>
              </w:r>
            </w:sdtContent>
          </w:sdt>
          <w:r>
            <w:rPr>
              <w:rFonts w:hint="eastAsia" w:ascii="仿宋" w:hAnsi="仿宋" w:eastAsia="仿宋" w:cs="仿宋"/>
              <w:sz w:val="28"/>
              <w:szCs w:val="28"/>
            </w:rPr>
            <w:tab/>
          </w:r>
          <w:bookmarkStart w:id="12" w:name="_Toc24721_WPSOffice_Level2Page"/>
          <w:r>
            <w:rPr>
              <w:rFonts w:hint="eastAsia" w:ascii="仿宋" w:hAnsi="仿宋" w:eastAsia="仿宋" w:cs="仿宋"/>
              <w:sz w:val="28"/>
              <w:szCs w:val="28"/>
            </w:rPr>
            <w:t>27</w:t>
          </w:r>
          <w:bookmarkEnd w:id="12"/>
          <w:r>
            <w:rPr>
              <w:rFonts w:hint="eastAsia" w:ascii="仿宋" w:hAnsi="仿宋" w:eastAsia="仿宋" w:cs="仿宋"/>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_Toc8043_WPSOffice_Level1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91505cd6-32cc-4842-9337-7bfd0471108e}"/>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第四章 建设分区和任务安排及整县推进工程试点</w:t>
              </w:r>
            </w:sdtContent>
          </w:sdt>
          <w:r>
            <w:rPr>
              <w:rFonts w:hint="eastAsia" w:ascii="仿宋" w:hAnsi="仿宋" w:eastAsia="仿宋" w:cs="仿宋"/>
              <w:b/>
              <w:bCs/>
              <w:sz w:val="28"/>
              <w:szCs w:val="28"/>
            </w:rPr>
            <w:tab/>
          </w:r>
          <w:bookmarkStart w:id="13" w:name="_Toc8043_WPSOffice_Level1Page"/>
          <w:r>
            <w:rPr>
              <w:rFonts w:hint="eastAsia" w:ascii="仿宋" w:hAnsi="仿宋" w:eastAsia="仿宋" w:cs="仿宋"/>
              <w:b/>
              <w:bCs/>
              <w:sz w:val="28"/>
              <w:szCs w:val="28"/>
            </w:rPr>
            <w:t>29</w:t>
          </w:r>
          <w:bookmarkEnd w:id="13"/>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_Toc21871_WPSOffice_Level2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aef37e98-f5a5-408d-8d2f-a905a9ad39e8}"/>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一、建设分区</w:t>
              </w:r>
            </w:sdtContent>
          </w:sdt>
          <w:r>
            <w:rPr>
              <w:rFonts w:hint="eastAsia" w:ascii="仿宋" w:hAnsi="仿宋" w:eastAsia="仿宋" w:cs="仿宋"/>
              <w:sz w:val="28"/>
              <w:szCs w:val="28"/>
            </w:rPr>
            <w:tab/>
          </w:r>
          <w:bookmarkStart w:id="14" w:name="_Toc21871_WPSOffice_Level2Page"/>
          <w:r>
            <w:rPr>
              <w:rFonts w:hint="eastAsia" w:ascii="仿宋" w:hAnsi="仿宋" w:eastAsia="仿宋" w:cs="仿宋"/>
              <w:sz w:val="28"/>
              <w:szCs w:val="28"/>
            </w:rPr>
            <w:t>29</w:t>
          </w:r>
          <w:bookmarkEnd w:id="14"/>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_Toc22523_WPSOffice_Level2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fe0c9cdb-db2d-4e10-924b-ab986269e0d9}"/>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二、任务安排</w:t>
              </w:r>
            </w:sdtContent>
          </w:sdt>
          <w:r>
            <w:rPr>
              <w:rFonts w:hint="eastAsia" w:ascii="仿宋" w:hAnsi="仿宋" w:eastAsia="仿宋" w:cs="仿宋"/>
              <w:sz w:val="28"/>
              <w:szCs w:val="28"/>
            </w:rPr>
            <w:tab/>
          </w:r>
          <w:bookmarkStart w:id="15" w:name="_Toc22523_WPSOffice_Level2Page"/>
          <w:r>
            <w:rPr>
              <w:rFonts w:hint="eastAsia" w:ascii="仿宋" w:hAnsi="仿宋" w:eastAsia="仿宋" w:cs="仿宋"/>
              <w:sz w:val="28"/>
              <w:szCs w:val="28"/>
            </w:rPr>
            <w:t>35</w:t>
          </w:r>
          <w:bookmarkEnd w:id="15"/>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_Toc18538_WPSOffice_Level2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02492552-970b-44af-9908-458232bb0616}"/>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三、整县推进工程试点</w:t>
              </w:r>
            </w:sdtContent>
          </w:sdt>
          <w:r>
            <w:rPr>
              <w:rFonts w:hint="eastAsia" w:ascii="仿宋" w:hAnsi="仿宋" w:eastAsia="仿宋" w:cs="仿宋"/>
              <w:sz w:val="28"/>
              <w:szCs w:val="28"/>
            </w:rPr>
            <w:tab/>
          </w:r>
          <w:bookmarkStart w:id="16" w:name="_Toc18538_WPSOffice_Level2Page"/>
          <w:r>
            <w:rPr>
              <w:rFonts w:hint="eastAsia" w:ascii="仿宋" w:hAnsi="仿宋" w:eastAsia="仿宋" w:cs="仿宋"/>
              <w:sz w:val="28"/>
              <w:szCs w:val="28"/>
            </w:rPr>
            <w:t>36</w:t>
          </w:r>
          <w:bookmarkEnd w:id="16"/>
          <w:r>
            <w:rPr>
              <w:rFonts w:hint="eastAsia" w:ascii="仿宋" w:hAnsi="仿宋" w:eastAsia="仿宋" w:cs="仿宋"/>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_Toc18426_WPSOffice_Level1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bd986969-8cd6-4ca3-bd19-7b03e828b649}"/>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第五章 建设监管和建后管护</w:t>
              </w:r>
            </w:sdtContent>
          </w:sdt>
          <w:r>
            <w:rPr>
              <w:rFonts w:hint="eastAsia" w:ascii="仿宋" w:hAnsi="仿宋" w:eastAsia="仿宋" w:cs="仿宋"/>
              <w:b/>
              <w:bCs/>
              <w:sz w:val="28"/>
              <w:szCs w:val="28"/>
            </w:rPr>
            <w:tab/>
          </w:r>
          <w:bookmarkStart w:id="17" w:name="_Toc18426_WPSOffice_Level1Page"/>
          <w:r>
            <w:rPr>
              <w:rFonts w:hint="eastAsia" w:ascii="仿宋" w:hAnsi="仿宋" w:eastAsia="仿宋" w:cs="仿宋"/>
              <w:b/>
              <w:bCs/>
              <w:sz w:val="28"/>
              <w:szCs w:val="28"/>
            </w:rPr>
            <w:t>39</w:t>
          </w:r>
          <w:bookmarkEnd w:id="17"/>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_Toc2084_WPSOffice_Level2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d34231a7-3474-447f-b348-68e87e34cfcc}"/>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一、强化质量管理</w:t>
              </w:r>
            </w:sdtContent>
          </w:sdt>
          <w:r>
            <w:rPr>
              <w:rFonts w:hint="eastAsia" w:ascii="仿宋" w:hAnsi="仿宋" w:eastAsia="仿宋" w:cs="仿宋"/>
              <w:sz w:val="28"/>
              <w:szCs w:val="28"/>
            </w:rPr>
            <w:tab/>
          </w:r>
          <w:bookmarkStart w:id="18" w:name="_Toc2084_WPSOffice_Level2Page"/>
          <w:r>
            <w:rPr>
              <w:rFonts w:hint="eastAsia" w:ascii="仿宋" w:hAnsi="仿宋" w:eastAsia="仿宋" w:cs="仿宋"/>
              <w:sz w:val="28"/>
              <w:szCs w:val="28"/>
            </w:rPr>
            <w:t>39</w:t>
          </w:r>
          <w:bookmarkEnd w:id="18"/>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_Toc24511_WPSOffice_Level2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22997736-7895-473f-9535-4f67e5ad9b39}"/>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二、统一上图入库</w:t>
              </w:r>
            </w:sdtContent>
          </w:sdt>
          <w:r>
            <w:rPr>
              <w:rFonts w:hint="eastAsia" w:ascii="仿宋" w:hAnsi="仿宋" w:eastAsia="仿宋" w:cs="仿宋"/>
              <w:sz w:val="28"/>
              <w:szCs w:val="28"/>
            </w:rPr>
            <w:tab/>
          </w:r>
          <w:bookmarkStart w:id="19" w:name="_Toc24511_WPSOffice_Level2Page"/>
          <w:r>
            <w:rPr>
              <w:rFonts w:hint="eastAsia" w:ascii="仿宋" w:hAnsi="仿宋" w:eastAsia="仿宋" w:cs="仿宋"/>
              <w:sz w:val="28"/>
              <w:szCs w:val="28"/>
            </w:rPr>
            <w:t>40</w:t>
          </w:r>
          <w:bookmarkEnd w:id="19"/>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_Toc18820_WPSOffice_Level2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5f58b073-17ab-493e-a8d5-d6d91b63a800}"/>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三、规范竣工验收</w:t>
              </w:r>
            </w:sdtContent>
          </w:sdt>
          <w:r>
            <w:rPr>
              <w:rFonts w:hint="eastAsia" w:ascii="仿宋" w:hAnsi="仿宋" w:eastAsia="仿宋" w:cs="仿宋"/>
              <w:sz w:val="28"/>
              <w:szCs w:val="28"/>
            </w:rPr>
            <w:tab/>
          </w:r>
          <w:bookmarkStart w:id="20" w:name="_Toc18820_WPSOffice_Level2Page"/>
          <w:r>
            <w:rPr>
              <w:rFonts w:hint="eastAsia" w:ascii="仿宋" w:hAnsi="仿宋" w:eastAsia="仿宋" w:cs="仿宋"/>
              <w:sz w:val="28"/>
              <w:szCs w:val="28"/>
            </w:rPr>
            <w:t>40</w:t>
          </w:r>
          <w:bookmarkEnd w:id="20"/>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_Toc23458_WPSOffice_Level2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5c7949a6-7d23-46b5-a1ae-d38a7edd11e0}"/>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四、加强建后管护</w:t>
              </w:r>
            </w:sdtContent>
          </w:sdt>
          <w:r>
            <w:rPr>
              <w:rFonts w:hint="eastAsia" w:ascii="仿宋" w:hAnsi="仿宋" w:eastAsia="仿宋" w:cs="仿宋"/>
              <w:sz w:val="28"/>
              <w:szCs w:val="28"/>
            </w:rPr>
            <w:tab/>
          </w:r>
          <w:bookmarkStart w:id="21" w:name="_Toc23458_WPSOffice_Level2Page"/>
          <w:r>
            <w:rPr>
              <w:rFonts w:hint="eastAsia" w:ascii="仿宋" w:hAnsi="仿宋" w:eastAsia="仿宋" w:cs="仿宋"/>
              <w:sz w:val="28"/>
              <w:szCs w:val="28"/>
            </w:rPr>
            <w:t>41</w:t>
          </w:r>
          <w:bookmarkEnd w:id="21"/>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_Toc4980_WPSOffice_Level2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5b755af3-d681-43d0-9b96-0bc55f0025c8}"/>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五、严格保护利用</w:t>
              </w:r>
            </w:sdtContent>
          </w:sdt>
          <w:r>
            <w:rPr>
              <w:rFonts w:hint="eastAsia" w:ascii="仿宋" w:hAnsi="仿宋" w:eastAsia="仿宋" w:cs="仿宋"/>
              <w:sz w:val="28"/>
              <w:szCs w:val="28"/>
            </w:rPr>
            <w:tab/>
          </w:r>
          <w:bookmarkStart w:id="22" w:name="_Toc4980_WPSOffice_Level2Page"/>
          <w:r>
            <w:rPr>
              <w:rFonts w:hint="eastAsia" w:ascii="仿宋" w:hAnsi="仿宋" w:eastAsia="仿宋" w:cs="仿宋"/>
              <w:sz w:val="28"/>
              <w:szCs w:val="28"/>
            </w:rPr>
            <w:t>42</w:t>
          </w:r>
          <w:bookmarkEnd w:id="22"/>
          <w:r>
            <w:rPr>
              <w:rFonts w:hint="eastAsia" w:ascii="仿宋" w:hAnsi="仿宋" w:eastAsia="仿宋" w:cs="仿宋"/>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_Toc25416_WPSOffice_Level1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309dee43-f5ed-45a4-8770-a50ef62e3b05}"/>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第六章 效益分析</w:t>
              </w:r>
            </w:sdtContent>
          </w:sdt>
          <w:r>
            <w:rPr>
              <w:rFonts w:hint="eastAsia" w:ascii="仿宋" w:hAnsi="仿宋" w:eastAsia="仿宋" w:cs="仿宋"/>
              <w:b/>
              <w:bCs/>
              <w:sz w:val="28"/>
              <w:szCs w:val="28"/>
            </w:rPr>
            <w:tab/>
          </w:r>
          <w:bookmarkStart w:id="23" w:name="_Toc25416_WPSOffice_Level1Page"/>
          <w:r>
            <w:rPr>
              <w:rFonts w:hint="eastAsia" w:ascii="仿宋" w:hAnsi="仿宋" w:eastAsia="仿宋" w:cs="仿宋"/>
              <w:b/>
              <w:bCs/>
              <w:sz w:val="28"/>
              <w:szCs w:val="28"/>
            </w:rPr>
            <w:t>44</w:t>
          </w:r>
          <w:bookmarkEnd w:id="23"/>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_Toc19503_WPSOffice_Level2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c5af1ee7-47b8-4535-ad28-59e2a2cb2b9d}"/>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一、经济效益</w:t>
              </w:r>
            </w:sdtContent>
          </w:sdt>
          <w:r>
            <w:rPr>
              <w:rFonts w:hint="eastAsia" w:ascii="仿宋" w:hAnsi="仿宋" w:eastAsia="仿宋" w:cs="仿宋"/>
              <w:sz w:val="28"/>
              <w:szCs w:val="28"/>
            </w:rPr>
            <w:tab/>
          </w:r>
          <w:bookmarkStart w:id="24" w:name="_Toc19503_WPSOffice_Level2Page"/>
          <w:r>
            <w:rPr>
              <w:rFonts w:hint="eastAsia" w:ascii="仿宋" w:hAnsi="仿宋" w:eastAsia="仿宋" w:cs="仿宋"/>
              <w:sz w:val="28"/>
              <w:szCs w:val="28"/>
            </w:rPr>
            <w:t>44</w:t>
          </w:r>
          <w:bookmarkEnd w:id="24"/>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_Toc16736_WPSOffice_Level2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ec84934c-9bcf-451c-ac4e-1f4928876b91}"/>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二、社会效益</w:t>
              </w:r>
            </w:sdtContent>
          </w:sdt>
          <w:r>
            <w:rPr>
              <w:rFonts w:hint="eastAsia" w:ascii="仿宋" w:hAnsi="仿宋" w:eastAsia="仿宋" w:cs="仿宋"/>
              <w:sz w:val="28"/>
              <w:szCs w:val="28"/>
            </w:rPr>
            <w:tab/>
          </w:r>
          <w:bookmarkStart w:id="25" w:name="_Toc16736_WPSOffice_Level2Page"/>
          <w:r>
            <w:rPr>
              <w:rFonts w:hint="eastAsia" w:ascii="仿宋" w:hAnsi="仿宋" w:eastAsia="仿宋" w:cs="仿宋"/>
              <w:sz w:val="28"/>
              <w:szCs w:val="28"/>
            </w:rPr>
            <w:t>44</w:t>
          </w:r>
          <w:bookmarkEnd w:id="25"/>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_Toc981_WPSOffice_Level2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f6ee315c-4088-4e39-8028-d8640e4ae849}"/>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三、生态效益</w:t>
              </w:r>
            </w:sdtContent>
          </w:sdt>
          <w:r>
            <w:rPr>
              <w:rFonts w:hint="eastAsia" w:ascii="仿宋" w:hAnsi="仿宋" w:eastAsia="仿宋" w:cs="仿宋"/>
              <w:sz w:val="28"/>
              <w:szCs w:val="28"/>
            </w:rPr>
            <w:tab/>
          </w:r>
          <w:bookmarkStart w:id="26" w:name="_Toc981_WPSOffice_Level2Page"/>
          <w:r>
            <w:rPr>
              <w:rFonts w:hint="eastAsia" w:ascii="仿宋" w:hAnsi="仿宋" w:eastAsia="仿宋" w:cs="仿宋"/>
              <w:sz w:val="28"/>
              <w:szCs w:val="28"/>
            </w:rPr>
            <w:t>45</w:t>
          </w:r>
          <w:bookmarkEnd w:id="26"/>
          <w:r>
            <w:rPr>
              <w:rFonts w:hint="eastAsia" w:ascii="仿宋" w:hAnsi="仿宋" w:eastAsia="仿宋" w:cs="仿宋"/>
              <w:sz w:val="28"/>
              <w:szCs w:val="28"/>
            </w:rPr>
            <w:fldChar w:fldCharType="end"/>
          </w:r>
        </w:p>
        <w:p>
          <w:pPr>
            <w:pStyle w:val="21"/>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b/>
              <w:bCs/>
              <w:sz w:val="28"/>
              <w:szCs w:val="28"/>
            </w:rPr>
            <w:fldChar w:fldCharType="begin"/>
          </w:r>
          <w:r>
            <w:rPr>
              <w:rFonts w:hint="eastAsia" w:ascii="仿宋" w:hAnsi="仿宋" w:eastAsia="仿宋" w:cs="仿宋"/>
              <w:sz w:val="28"/>
              <w:szCs w:val="28"/>
            </w:rPr>
            <w:instrText xml:space="preserve"> HYPERLINK \l _Toc283_WPSOffice_Level1 </w:instrText>
          </w:r>
          <w:r>
            <w:rPr>
              <w:rFonts w:hint="eastAsia" w:ascii="仿宋" w:hAnsi="仿宋" w:eastAsia="仿宋" w:cs="仿宋"/>
              <w:b/>
              <w:bCs/>
              <w:sz w:val="28"/>
              <w:szCs w:val="28"/>
            </w:rPr>
            <w:fldChar w:fldCharType="separate"/>
          </w:r>
          <w:sdt>
            <w:sdtPr>
              <w:rPr>
                <w:rFonts w:hint="eastAsia" w:ascii="仿宋" w:hAnsi="仿宋" w:eastAsia="仿宋" w:cs="仿宋"/>
                <w:b/>
                <w:bCs/>
                <w:kern w:val="2"/>
                <w:sz w:val="28"/>
                <w:szCs w:val="28"/>
                <w:lang w:val="en-US" w:eastAsia="zh-CN" w:bidi="ar-SA"/>
              </w:rPr>
              <w:id w:val="147454193"/>
              <w:placeholder>
                <w:docPart w:val="{b1ca1ac4-078a-4f2f-a20f-625f1b3af472}"/>
              </w:placeholder>
            </w:sdtPr>
            <w:sdtEndPr>
              <w:rPr>
                <w:rFonts w:hint="eastAsia" w:ascii="仿宋" w:hAnsi="仿宋" w:eastAsia="仿宋" w:cs="仿宋"/>
                <w:b/>
                <w:bCs/>
                <w:kern w:val="2"/>
                <w:sz w:val="28"/>
                <w:szCs w:val="28"/>
                <w:lang w:val="en-US" w:eastAsia="zh-CN" w:bidi="ar-SA"/>
              </w:rPr>
            </w:sdtEndPr>
            <w:sdtContent>
              <w:r>
                <w:rPr>
                  <w:rFonts w:hint="eastAsia" w:ascii="仿宋" w:hAnsi="仿宋" w:eastAsia="仿宋" w:cs="仿宋"/>
                  <w:b/>
                  <w:bCs/>
                  <w:sz w:val="28"/>
                  <w:szCs w:val="28"/>
                </w:rPr>
                <w:t>第七章 保障措施</w:t>
              </w:r>
            </w:sdtContent>
          </w:sdt>
          <w:r>
            <w:rPr>
              <w:rFonts w:hint="eastAsia" w:ascii="仿宋" w:hAnsi="仿宋" w:eastAsia="仿宋" w:cs="仿宋"/>
              <w:b/>
              <w:bCs/>
              <w:sz w:val="28"/>
              <w:szCs w:val="28"/>
            </w:rPr>
            <w:tab/>
          </w:r>
          <w:bookmarkStart w:id="27" w:name="_Toc283_WPSOffice_Level1Page"/>
          <w:r>
            <w:rPr>
              <w:rFonts w:hint="eastAsia" w:ascii="仿宋" w:hAnsi="仿宋" w:eastAsia="仿宋" w:cs="仿宋"/>
              <w:b/>
              <w:bCs/>
              <w:sz w:val="28"/>
              <w:szCs w:val="28"/>
            </w:rPr>
            <w:t>46</w:t>
          </w:r>
          <w:bookmarkEnd w:id="27"/>
          <w:r>
            <w:rPr>
              <w:rFonts w:hint="eastAsia" w:ascii="仿宋" w:hAnsi="仿宋" w:eastAsia="仿宋" w:cs="仿宋"/>
              <w:b/>
              <w:bCs/>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_Toc5578_WPSOffice_Level2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308bad46-5e47-4b36-a2b6-d1d500686a1f}"/>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一、加强组织领导</w:t>
              </w:r>
            </w:sdtContent>
          </w:sdt>
          <w:r>
            <w:rPr>
              <w:rFonts w:hint="eastAsia" w:ascii="仿宋" w:hAnsi="仿宋" w:eastAsia="仿宋" w:cs="仿宋"/>
              <w:sz w:val="28"/>
              <w:szCs w:val="28"/>
            </w:rPr>
            <w:tab/>
          </w:r>
          <w:bookmarkStart w:id="28" w:name="_Toc5578_WPSOffice_Level2Page"/>
          <w:r>
            <w:rPr>
              <w:rFonts w:hint="eastAsia" w:ascii="仿宋" w:hAnsi="仿宋" w:eastAsia="仿宋" w:cs="仿宋"/>
              <w:sz w:val="28"/>
              <w:szCs w:val="28"/>
            </w:rPr>
            <w:t>46</w:t>
          </w:r>
          <w:bookmarkEnd w:id="28"/>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_Toc21916_WPSOffice_Level2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789bf196-7c06-44cc-b8fb-a27cbfd7fd3e}"/>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二、推进规划落实</w:t>
              </w:r>
            </w:sdtContent>
          </w:sdt>
          <w:r>
            <w:rPr>
              <w:rFonts w:hint="eastAsia" w:ascii="仿宋" w:hAnsi="仿宋" w:eastAsia="仿宋" w:cs="仿宋"/>
              <w:sz w:val="28"/>
              <w:szCs w:val="28"/>
            </w:rPr>
            <w:tab/>
          </w:r>
          <w:bookmarkStart w:id="29" w:name="_Toc21916_WPSOffice_Level2Page"/>
          <w:r>
            <w:rPr>
              <w:rFonts w:hint="eastAsia" w:ascii="仿宋" w:hAnsi="仿宋" w:eastAsia="仿宋" w:cs="仿宋"/>
              <w:sz w:val="28"/>
              <w:szCs w:val="28"/>
            </w:rPr>
            <w:t>47</w:t>
          </w:r>
          <w:bookmarkEnd w:id="29"/>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_Toc28673_WPSOffice_Level2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84d73d07-e119-443c-a223-d5ccd781ae73}"/>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三、强化资金投入</w:t>
              </w:r>
            </w:sdtContent>
          </w:sdt>
          <w:r>
            <w:rPr>
              <w:rFonts w:hint="eastAsia" w:ascii="仿宋" w:hAnsi="仿宋" w:eastAsia="仿宋" w:cs="仿宋"/>
              <w:sz w:val="28"/>
              <w:szCs w:val="28"/>
            </w:rPr>
            <w:tab/>
          </w:r>
          <w:bookmarkStart w:id="30" w:name="_Toc28673_WPSOffice_Level2Page"/>
          <w:r>
            <w:rPr>
              <w:rFonts w:hint="eastAsia" w:ascii="仿宋" w:hAnsi="仿宋" w:eastAsia="仿宋" w:cs="仿宋"/>
              <w:sz w:val="28"/>
              <w:szCs w:val="28"/>
            </w:rPr>
            <w:t>48</w:t>
          </w:r>
          <w:bookmarkEnd w:id="30"/>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_Toc8820_WPSOffice_Level2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c6252f5a-8231-4e25-a518-c7b2c3fa40b6}"/>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四、加大科技支撑</w:t>
              </w:r>
            </w:sdtContent>
          </w:sdt>
          <w:r>
            <w:rPr>
              <w:rFonts w:hint="eastAsia" w:ascii="仿宋" w:hAnsi="仿宋" w:eastAsia="仿宋" w:cs="仿宋"/>
              <w:sz w:val="28"/>
              <w:szCs w:val="28"/>
            </w:rPr>
            <w:tab/>
          </w:r>
          <w:bookmarkStart w:id="31" w:name="_Toc8820_WPSOffice_Level2Page"/>
          <w:r>
            <w:rPr>
              <w:rFonts w:hint="eastAsia" w:ascii="仿宋" w:hAnsi="仿宋" w:eastAsia="仿宋" w:cs="仿宋"/>
              <w:sz w:val="28"/>
              <w:szCs w:val="28"/>
            </w:rPr>
            <w:t>49</w:t>
          </w:r>
          <w:bookmarkEnd w:id="31"/>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_Toc6309_WPSOffice_Level2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cfa18cd0-7f12-43ea-b1fb-d4dbe248e190}"/>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五、创新建管模式</w:t>
              </w:r>
            </w:sdtContent>
          </w:sdt>
          <w:r>
            <w:rPr>
              <w:rFonts w:hint="eastAsia" w:ascii="仿宋" w:hAnsi="仿宋" w:eastAsia="仿宋" w:cs="仿宋"/>
              <w:sz w:val="28"/>
              <w:szCs w:val="28"/>
            </w:rPr>
            <w:tab/>
          </w:r>
          <w:bookmarkStart w:id="32" w:name="_Toc6309_WPSOffice_Level2Page"/>
          <w:r>
            <w:rPr>
              <w:rFonts w:hint="eastAsia" w:ascii="仿宋" w:hAnsi="仿宋" w:eastAsia="仿宋" w:cs="仿宋"/>
              <w:sz w:val="28"/>
              <w:szCs w:val="28"/>
            </w:rPr>
            <w:t>50</w:t>
          </w:r>
          <w:bookmarkEnd w:id="32"/>
          <w:r>
            <w:rPr>
              <w:rFonts w:hint="eastAsia" w:ascii="仿宋" w:hAnsi="仿宋" w:eastAsia="仿宋" w:cs="仿宋"/>
              <w:sz w:val="28"/>
              <w:szCs w:val="28"/>
            </w:rPr>
            <w:fldChar w:fldCharType="end"/>
          </w:r>
        </w:p>
        <w:p>
          <w:pPr>
            <w:pStyle w:val="22"/>
            <w:keepNext w:val="0"/>
            <w:keepLines w:val="0"/>
            <w:pageBreakBefore w:val="0"/>
            <w:widowControl/>
            <w:tabs>
              <w:tab w:val="right" w:leader="dot" w:pos="8902"/>
            </w:tabs>
            <w:kinsoku/>
            <w:wordWrap/>
            <w:overflowPunct/>
            <w:topLinePunct w:val="0"/>
            <w:autoSpaceDE/>
            <w:autoSpaceDN/>
            <w:bidi w:val="0"/>
            <w:adjustRightInd/>
            <w:snapToGrid/>
            <w:spacing w:line="360" w:lineRule="exact"/>
            <w:textAlignment w:val="auto"/>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_Toc5667_WPSOffice_Level2 </w:instrText>
          </w:r>
          <w:r>
            <w:rPr>
              <w:rFonts w:hint="eastAsia" w:ascii="仿宋" w:hAnsi="仿宋" w:eastAsia="仿宋" w:cs="仿宋"/>
              <w:sz w:val="28"/>
              <w:szCs w:val="28"/>
            </w:rPr>
            <w:fldChar w:fldCharType="separate"/>
          </w:r>
          <w:sdt>
            <w:sdtPr>
              <w:rPr>
                <w:rFonts w:hint="eastAsia" w:ascii="仿宋" w:hAnsi="仿宋" w:eastAsia="仿宋" w:cs="仿宋"/>
                <w:kern w:val="2"/>
                <w:sz w:val="28"/>
                <w:szCs w:val="28"/>
                <w:lang w:val="en-US" w:eastAsia="zh-CN" w:bidi="ar-SA"/>
              </w:rPr>
              <w:id w:val="147454193"/>
              <w:placeholder>
                <w:docPart w:val="{30bf286f-ffe0-44f4-a339-b3a36b7f312e}"/>
              </w:placeholder>
            </w:sdtPr>
            <w:sdtEndPr>
              <w:rPr>
                <w:rFonts w:hint="eastAsia" w:ascii="仿宋" w:hAnsi="仿宋" w:eastAsia="仿宋" w:cs="仿宋"/>
                <w:kern w:val="2"/>
                <w:sz w:val="28"/>
                <w:szCs w:val="28"/>
                <w:lang w:val="en-US" w:eastAsia="zh-CN" w:bidi="ar-SA"/>
              </w:rPr>
            </w:sdtEndPr>
            <w:sdtContent>
              <w:r>
                <w:rPr>
                  <w:rFonts w:hint="eastAsia" w:ascii="仿宋" w:hAnsi="仿宋" w:eastAsia="仿宋" w:cs="仿宋"/>
                  <w:sz w:val="28"/>
                  <w:szCs w:val="28"/>
                </w:rPr>
                <w:t>六、严格监督考核</w:t>
              </w:r>
            </w:sdtContent>
          </w:sdt>
          <w:r>
            <w:rPr>
              <w:rFonts w:hint="eastAsia" w:ascii="仿宋" w:hAnsi="仿宋" w:eastAsia="仿宋" w:cs="仿宋"/>
              <w:sz w:val="28"/>
              <w:szCs w:val="28"/>
            </w:rPr>
            <w:tab/>
          </w:r>
          <w:bookmarkStart w:id="33" w:name="_Toc5667_WPSOffice_Level2Page"/>
          <w:r>
            <w:rPr>
              <w:rFonts w:hint="eastAsia" w:ascii="仿宋" w:hAnsi="仿宋" w:eastAsia="仿宋" w:cs="仿宋"/>
              <w:sz w:val="28"/>
              <w:szCs w:val="28"/>
            </w:rPr>
            <w:t>51</w:t>
          </w:r>
          <w:bookmarkEnd w:id="33"/>
          <w:r>
            <w:rPr>
              <w:rFonts w:hint="eastAsia" w:ascii="仿宋" w:hAnsi="仿宋" w:eastAsia="仿宋" w:cs="仿宋"/>
              <w:sz w:val="28"/>
              <w:szCs w:val="28"/>
            </w:rPr>
            <w:fldChar w:fldCharType="end"/>
          </w:r>
          <w:bookmarkEnd w:id="0"/>
        </w:p>
      </w:sdtContent>
    </w:sdt>
    <w:p>
      <w:pPr>
        <w:bidi w:val="0"/>
        <w:ind w:left="0" w:leftChars="0" w:firstLine="0" w:firstLineChars="0"/>
        <w:jc w:val="center"/>
        <w:rPr>
          <w:rFonts w:hint="default" w:ascii="黑体" w:hAnsi="黑体" w:eastAsia="黑体" w:cs="黑体"/>
          <w:b/>
          <w:bCs/>
          <w:color w:val="auto"/>
          <w:sz w:val="44"/>
          <w:szCs w:val="44"/>
          <w:lang w:val="en-US" w:eastAsia="zh-CN"/>
        </w:rPr>
      </w:pPr>
      <w:bookmarkStart w:id="34" w:name="_Toc30609_WPSOffice_Level1"/>
      <w:bookmarkStart w:id="35" w:name="_Toc6774_WPSOffice_Level1"/>
      <w:r>
        <w:rPr>
          <w:rFonts w:hint="eastAsia" w:ascii="黑体" w:hAnsi="黑体" w:eastAsia="黑体" w:cs="黑体"/>
          <w:b/>
          <w:bCs/>
          <w:color w:val="auto"/>
          <w:sz w:val="44"/>
          <w:szCs w:val="44"/>
          <w:lang w:val="en-US" w:eastAsia="zh-CN"/>
        </w:rPr>
        <w:t>前   言</w:t>
      </w:r>
      <w:bookmarkEnd w:id="34"/>
      <w:bookmarkEnd w:id="35"/>
    </w:p>
    <w:p>
      <w:pPr>
        <w:bidi w:val="0"/>
        <w:rPr>
          <w:rFonts w:hint="eastAsia" w:ascii="仿宋" w:hAnsi="仿宋" w:eastAsia="仿宋" w:cs="仿宋"/>
          <w:color w:val="auto"/>
          <w:sz w:val="32"/>
          <w:szCs w:val="32"/>
        </w:rPr>
      </w:pPr>
    </w:p>
    <w:p>
      <w:pPr>
        <w:bidi w:val="0"/>
        <w:rPr>
          <w:rFonts w:hint="eastAsia" w:ascii="仿宋" w:hAnsi="仿宋" w:eastAsia="仿宋" w:cs="仿宋"/>
          <w:color w:val="auto"/>
          <w:sz w:val="32"/>
          <w:szCs w:val="32"/>
        </w:rPr>
      </w:pPr>
      <w:r>
        <w:rPr>
          <w:rFonts w:hint="eastAsia" w:ascii="仿宋" w:hAnsi="仿宋" w:eastAsia="仿宋" w:cs="仿宋"/>
          <w:color w:val="auto"/>
          <w:sz w:val="32"/>
          <w:szCs w:val="32"/>
        </w:rPr>
        <w:t>党中央、国务院高度重视高标准农田建设。习近平总书记多次强调，中国人的饭碗要牢牢端在自己手里，而且里面应该主要装中国粮；农田就是农田，而且必须是良田；要突出抓好耕地保护和地力提升，坚定不移抓好高标准农田建设，提高建设标准和质量，真正实现旱涝保收、高产稳产。李克强总理对发展粮食生产、加强高标准农田建设提出明确要求。建设高标准农田，是巩固和提高粮食生产能力、保障国家粮食安全的关键举措，是发展现代农业、增加农民收入的战略基础和重要途径，对提高农业综合生产能力，保障</w:t>
      </w:r>
      <w:r>
        <w:rPr>
          <w:rFonts w:hint="eastAsia" w:ascii="仿宋" w:hAnsi="仿宋" w:cs="仿宋"/>
          <w:color w:val="auto"/>
          <w:sz w:val="32"/>
          <w:szCs w:val="32"/>
          <w:lang w:eastAsia="zh-CN"/>
        </w:rPr>
        <w:t>全市</w:t>
      </w:r>
      <w:r>
        <w:rPr>
          <w:rFonts w:hint="eastAsia" w:ascii="仿宋" w:hAnsi="仿宋" w:eastAsia="仿宋" w:cs="仿宋"/>
          <w:color w:val="auto"/>
          <w:sz w:val="32"/>
          <w:szCs w:val="32"/>
        </w:rPr>
        <w:t>粮食安全和主要农产品有效供给具有重要的意义。</w:t>
      </w:r>
    </w:p>
    <w:p>
      <w:pPr>
        <w:bidi w:val="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截至202</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年底，</w:t>
      </w:r>
      <w:r>
        <w:rPr>
          <w:rFonts w:hint="eastAsia" w:ascii="仿宋" w:hAnsi="仿宋" w:cs="仿宋"/>
          <w:color w:val="auto"/>
          <w:sz w:val="32"/>
          <w:szCs w:val="32"/>
          <w:lang w:eastAsia="zh-CN"/>
        </w:rPr>
        <w:t>全</w:t>
      </w:r>
      <w:r>
        <w:rPr>
          <w:rFonts w:hint="eastAsia" w:ascii="仿宋" w:hAnsi="仿宋" w:eastAsia="仿宋" w:cs="仿宋"/>
          <w:color w:val="auto"/>
          <w:sz w:val="32"/>
          <w:szCs w:val="32"/>
          <w:lang w:eastAsia="zh-CN"/>
        </w:rPr>
        <w:t>市</w:t>
      </w:r>
      <w:r>
        <w:rPr>
          <w:rFonts w:hint="eastAsia" w:ascii="仿宋" w:hAnsi="仿宋" w:eastAsia="仿宋" w:cs="仿宋"/>
          <w:color w:val="auto"/>
          <w:sz w:val="32"/>
          <w:szCs w:val="32"/>
        </w:rPr>
        <w:t>建成高标准农田</w:t>
      </w:r>
      <w:r>
        <w:rPr>
          <w:rFonts w:hint="eastAsia" w:ascii="仿宋" w:hAnsi="仿宋" w:eastAsia="仿宋" w:cs="仿宋"/>
          <w:color w:val="auto"/>
          <w:sz w:val="32"/>
          <w:szCs w:val="32"/>
          <w:lang w:val="en-US" w:eastAsia="zh-CN"/>
        </w:rPr>
        <w:t>122.85</w:t>
      </w:r>
      <w:r>
        <w:rPr>
          <w:rFonts w:hint="eastAsia" w:ascii="仿宋" w:hAnsi="仿宋" w:eastAsia="仿宋" w:cs="仿宋"/>
          <w:color w:val="auto"/>
          <w:sz w:val="32"/>
          <w:szCs w:val="32"/>
        </w:rPr>
        <w:t>万亩</w:t>
      </w:r>
      <w:r>
        <w:rPr>
          <w:rFonts w:hint="eastAsia" w:ascii="仿宋" w:hAnsi="仿宋" w:cs="仿宋"/>
          <w:color w:val="auto"/>
          <w:sz w:val="32"/>
          <w:szCs w:val="32"/>
          <w:lang w:eastAsia="zh-CN"/>
        </w:rPr>
        <w:t>，占全市</w:t>
      </w:r>
      <w:r>
        <w:rPr>
          <w:rFonts w:hint="eastAsia" w:ascii="仿宋" w:hAnsi="仿宋" w:eastAsia="仿宋" w:cs="仿宋"/>
          <w:color w:val="auto"/>
          <w:sz w:val="32"/>
          <w:szCs w:val="32"/>
        </w:rPr>
        <w:t>耕地面积</w:t>
      </w:r>
      <w:r>
        <w:rPr>
          <w:rFonts w:hint="eastAsia" w:ascii="仿宋" w:hAnsi="仿宋" w:eastAsia="仿宋" w:cs="仿宋"/>
          <w:color w:val="auto"/>
          <w:sz w:val="32"/>
          <w:szCs w:val="32"/>
          <w:lang w:val="en-US" w:eastAsia="zh-CN"/>
        </w:rPr>
        <w:t>184.3</w:t>
      </w:r>
      <w:r>
        <w:rPr>
          <w:rFonts w:hint="eastAsia" w:ascii="仿宋" w:hAnsi="仿宋" w:eastAsia="仿宋" w:cs="仿宋"/>
          <w:color w:val="auto"/>
          <w:sz w:val="32"/>
          <w:szCs w:val="32"/>
        </w:rPr>
        <w:t>万亩（“三调”数据）</w:t>
      </w:r>
      <w:r>
        <w:rPr>
          <w:rFonts w:hint="eastAsia" w:ascii="仿宋" w:hAnsi="仿宋" w:cs="仿宋"/>
          <w:color w:val="auto"/>
          <w:sz w:val="32"/>
          <w:szCs w:val="32"/>
          <w:lang w:val="en-US" w:eastAsia="zh-CN"/>
        </w:rPr>
        <w:t>66.7%</w:t>
      </w:r>
      <w:r>
        <w:rPr>
          <w:rFonts w:hint="eastAsia" w:ascii="仿宋" w:hAnsi="仿宋" w:cs="仿宋"/>
          <w:color w:val="auto"/>
          <w:sz w:val="32"/>
          <w:szCs w:val="32"/>
          <w:lang w:eastAsia="zh-CN"/>
        </w:rPr>
        <w:t>，</w:t>
      </w:r>
      <w:r>
        <w:rPr>
          <w:rFonts w:hint="eastAsia" w:ascii="仿宋" w:hAnsi="仿宋" w:eastAsia="仿宋" w:cs="仿宋"/>
          <w:color w:val="auto"/>
          <w:sz w:val="32"/>
          <w:szCs w:val="32"/>
        </w:rPr>
        <w:t>为稳定全</w:t>
      </w:r>
      <w:r>
        <w:rPr>
          <w:rFonts w:hint="eastAsia" w:ascii="仿宋" w:hAnsi="仿宋" w:eastAsia="仿宋" w:cs="仿宋"/>
          <w:color w:val="auto"/>
          <w:sz w:val="32"/>
          <w:szCs w:val="32"/>
          <w:lang w:val="en-US" w:eastAsia="zh-CN"/>
        </w:rPr>
        <w:t>市</w:t>
      </w:r>
      <w:r>
        <w:rPr>
          <w:rFonts w:hint="eastAsia" w:ascii="仿宋" w:hAnsi="仿宋" w:eastAsia="仿宋" w:cs="仿宋"/>
          <w:color w:val="auto"/>
          <w:sz w:val="32"/>
          <w:szCs w:val="32"/>
        </w:rPr>
        <w:t>粮食产能、筑牢“粮仓”根基，保障国家粮食安全作出了</w:t>
      </w:r>
      <w:r>
        <w:rPr>
          <w:rFonts w:hint="eastAsia" w:ascii="仿宋" w:hAnsi="仿宋" w:eastAsia="仿宋" w:cs="仿宋"/>
          <w:color w:val="auto"/>
          <w:sz w:val="32"/>
          <w:szCs w:val="32"/>
          <w:lang w:val="en-US" w:eastAsia="zh-CN"/>
        </w:rPr>
        <w:t>池州</w:t>
      </w:r>
      <w:r>
        <w:rPr>
          <w:rFonts w:hint="eastAsia" w:ascii="仿宋" w:hAnsi="仿宋" w:eastAsia="仿宋" w:cs="仿宋"/>
          <w:color w:val="auto"/>
          <w:sz w:val="32"/>
          <w:szCs w:val="32"/>
        </w:rPr>
        <w:t>贡献。</w:t>
      </w:r>
    </w:p>
    <w:p>
      <w:pPr>
        <w:bidi w:val="0"/>
        <w:rPr>
          <w:rFonts w:hint="eastAsia" w:ascii="仿宋" w:hAnsi="仿宋" w:eastAsia="仿宋" w:cs="仿宋"/>
          <w:color w:val="auto"/>
          <w:sz w:val="32"/>
          <w:szCs w:val="32"/>
        </w:rPr>
      </w:pPr>
      <w:r>
        <w:rPr>
          <w:rFonts w:hint="eastAsia" w:ascii="仿宋" w:hAnsi="仿宋" w:eastAsia="仿宋" w:cs="仿宋"/>
          <w:color w:val="auto"/>
          <w:sz w:val="32"/>
          <w:szCs w:val="32"/>
        </w:rPr>
        <w:t>根据《全国高标准农田建设规划（2021-2030年）》《</w:t>
      </w:r>
      <w:r>
        <w:rPr>
          <w:rFonts w:hint="eastAsia" w:ascii="仿宋" w:hAnsi="仿宋" w:eastAsia="仿宋" w:cs="仿宋"/>
          <w:color w:val="auto"/>
          <w:sz w:val="32"/>
          <w:szCs w:val="32"/>
          <w:lang w:val="en-US" w:eastAsia="zh-CN"/>
        </w:rPr>
        <w:t>安徽</w:t>
      </w:r>
      <w:r>
        <w:rPr>
          <w:rFonts w:hint="eastAsia" w:ascii="仿宋" w:hAnsi="仿宋" w:eastAsia="仿宋" w:cs="仿宋"/>
          <w:color w:val="auto"/>
          <w:sz w:val="32"/>
          <w:szCs w:val="32"/>
        </w:rPr>
        <w:t>省高标准农田建设规划（2021-2030年）》的文件精神及有关规定，按照省委省政府、市委市政府工作部署要求，紧紧围绕耕地这个</w:t>
      </w:r>
      <w:r>
        <w:rPr>
          <w:rFonts w:hint="eastAsia" w:ascii="仿宋" w:hAnsi="仿宋" w:cs="仿宋"/>
          <w:color w:val="auto"/>
          <w:sz w:val="32"/>
          <w:szCs w:val="32"/>
          <w:lang w:eastAsia="zh-CN"/>
        </w:rPr>
        <w:t>根本</w:t>
      </w:r>
      <w:r>
        <w:rPr>
          <w:rFonts w:hint="eastAsia" w:ascii="仿宋" w:hAnsi="仿宋" w:eastAsia="仿宋" w:cs="仿宋"/>
          <w:color w:val="auto"/>
          <w:sz w:val="32"/>
          <w:szCs w:val="32"/>
        </w:rPr>
        <w:t>，扎实推</w:t>
      </w:r>
      <w:r>
        <w:rPr>
          <w:rFonts w:hint="eastAsia" w:ascii="仿宋" w:hAnsi="仿宋" w:cs="仿宋"/>
          <w:color w:val="auto"/>
          <w:sz w:val="32"/>
          <w:szCs w:val="32"/>
          <w:lang w:eastAsia="zh-CN"/>
        </w:rPr>
        <w:t>进</w:t>
      </w:r>
      <w:r>
        <w:rPr>
          <w:rFonts w:hint="eastAsia" w:ascii="仿宋" w:hAnsi="仿宋" w:eastAsia="仿宋" w:cs="仿宋"/>
          <w:color w:val="auto"/>
          <w:sz w:val="32"/>
          <w:szCs w:val="32"/>
        </w:rPr>
        <w:t>藏粮于地、藏粮于技，以提升粮食产能为首要目标，聚焦重点区域，加强规划布局，统筹整合资金，加大投入力度，完善建设内容，加强建设管理，突出抓好耕地保护、地力提升，加快补齐农田基础设施短板，高质量推进高标准农田建设工作，为提高</w:t>
      </w:r>
      <w:r>
        <w:rPr>
          <w:rFonts w:hint="eastAsia" w:ascii="仿宋" w:hAnsi="仿宋" w:cs="仿宋"/>
          <w:color w:val="auto"/>
          <w:sz w:val="32"/>
          <w:szCs w:val="32"/>
          <w:lang w:eastAsia="zh-CN"/>
        </w:rPr>
        <w:t>全</w:t>
      </w:r>
      <w:r>
        <w:rPr>
          <w:rFonts w:hint="eastAsia" w:ascii="仿宋" w:hAnsi="仿宋" w:eastAsia="仿宋" w:cs="仿宋"/>
          <w:color w:val="auto"/>
          <w:sz w:val="32"/>
          <w:szCs w:val="32"/>
        </w:rPr>
        <w:t>市农业综合生产能力奠定坚实基础</w:t>
      </w:r>
      <w:r>
        <w:rPr>
          <w:rFonts w:hint="eastAsia" w:ascii="仿宋" w:hAnsi="仿宋" w:cs="仿宋"/>
          <w:color w:val="auto"/>
          <w:sz w:val="32"/>
          <w:szCs w:val="32"/>
          <w:lang w:eastAsia="zh-CN"/>
        </w:rPr>
        <w:t>，</w:t>
      </w:r>
      <w:r>
        <w:rPr>
          <w:rFonts w:hint="eastAsia" w:ascii="仿宋" w:hAnsi="仿宋" w:eastAsia="仿宋" w:cs="仿宋"/>
          <w:color w:val="auto"/>
          <w:sz w:val="32"/>
          <w:szCs w:val="32"/>
        </w:rPr>
        <w:t>编制</w:t>
      </w:r>
      <w:r>
        <w:rPr>
          <w:rFonts w:hint="eastAsia" w:ascii="仿宋" w:hAnsi="仿宋" w:cs="仿宋"/>
          <w:color w:val="auto"/>
          <w:sz w:val="32"/>
          <w:szCs w:val="32"/>
          <w:lang w:eastAsia="zh-CN"/>
        </w:rPr>
        <w:t>了</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池州</w:t>
      </w:r>
      <w:r>
        <w:rPr>
          <w:rFonts w:hint="eastAsia" w:ascii="仿宋" w:hAnsi="仿宋" w:eastAsia="仿宋" w:cs="仿宋"/>
          <w:color w:val="auto"/>
          <w:sz w:val="32"/>
          <w:szCs w:val="32"/>
        </w:rPr>
        <w:t>市高标准农田建设规划(2021—2030年）》（以下简称《规划》）。</w:t>
      </w:r>
    </w:p>
    <w:p>
      <w:pPr>
        <w:bidi w:val="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《规划》评估了“十三五”以来</w:t>
      </w:r>
      <w:r>
        <w:rPr>
          <w:rFonts w:hint="eastAsia" w:ascii="仿宋" w:hAnsi="仿宋" w:cs="仿宋"/>
          <w:color w:val="auto"/>
          <w:sz w:val="32"/>
          <w:szCs w:val="32"/>
          <w:lang w:eastAsia="zh-CN"/>
        </w:rPr>
        <w:t>池州</w:t>
      </w:r>
      <w:r>
        <w:rPr>
          <w:rFonts w:hint="eastAsia" w:ascii="仿宋" w:hAnsi="仿宋" w:eastAsia="仿宋" w:cs="仿宋"/>
          <w:color w:val="auto"/>
          <w:sz w:val="32"/>
          <w:szCs w:val="32"/>
        </w:rPr>
        <w:t>市高标准农田建设成效，分析了有利条件和面临问题</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深入调研，认真分析当前</w:t>
      </w:r>
      <w:r>
        <w:rPr>
          <w:rFonts w:hint="eastAsia" w:ascii="仿宋" w:hAnsi="仿宋" w:eastAsia="仿宋" w:cs="仿宋"/>
          <w:color w:val="auto"/>
          <w:sz w:val="32"/>
          <w:szCs w:val="32"/>
          <w:lang w:val="en-US" w:eastAsia="zh-CN"/>
        </w:rPr>
        <w:t>池州市</w:t>
      </w:r>
      <w:r>
        <w:rPr>
          <w:rFonts w:hint="eastAsia" w:ascii="仿宋" w:hAnsi="仿宋" w:eastAsia="仿宋" w:cs="仿宋"/>
          <w:color w:val="auto"/>
          <w:sz w:val="32"/>
          <w:szCs w:val="32"/>
        </w:rPr>
        <w:t>高标准农田建设面临的形势，提出了今后十年</w:t>
      </w:r>
      <w:r>
        <w:rPr>
          <w:rFonts w:hint="eastAsia" w:ascii="仿宋" w:hAnsi="仿宋" w:eastAsia="仿宋" w:cs="仿宋"/>
          <w:color w:val="auto"/>
          <w:sz w:val="32"/>
          <w:szCs w:val="32"/>
          <w:lang w:val="en-US" w:eastAsia="zh-CN"/>
        </w:rPr>
        <w:t>池州市</w:t>
      </w:r>
      <w:r>
        <w:rPr>
          <w:rFonts w:hint="eastAsia" w:ascii="仿宋" w:hAnsi="仿宋" w:eastAsia="仿宋" w:cs="仿宋"/>
          <w:color w:val="auto"/>
          <w:sz w:val="32"/>
          <w:szCs w:val="32"/>
        </w:rPr>
        <w:t>高标准农田建设的总体要求、建设内容和建设标准、分区建设重点和任务安排、建设监管和建后管护、效益分析、保障措施等。本《规划》是今后一段时期</w:t>
      </w:r>
      <w:r>
        <w:rPr>
          <w:rFonts w:hint="eastAsia" w:ascii="仿宋" w:hAnsi="仿宋" w:cs="仿宋"/>
          <w:color w:val="auto"/>
          <w:sz w:val="32"/>
          <w:szCs w:val="32"/>
          <w:lang w:eastAsia="zh-CN"/>
        </w:rPr>
        <w:t>全</w:t>
      </w:r>
      <w:r>
        <w:rPr>
          <w:rFonts w:hint="eastAsia" w:ascii="仿宋" w:hAnsi="仿宋" w:eastAsia="仿宋" w:cs="仿宋"/>
          <w:color w:val="auto"/>
          <w:sz w:val="32"/>
          <w:szCs w:val="32"/>
        </w:rPr>
        <w:t>市高标准农田建设的重要实施依据</w:t>
      </w:r>
      <w:r>
        <w:rPr>
          <w:rFonts w:hint="eastAsia" w:ascii="仿宋" w:hAnsi="仿宋" w:eastAsia="仿宋" w:cs="仿宋"/>
          <w:color w:val="auto"/>
          <w:sz w:val="32"/>
          <w:szCs w:val="32"/>
          <w:lang w:eastAsia="zh-CN"/>
        </w:rPr>
        <w:t>。</w:t>
      </w:r>
    </w:p>
    <w:p>
      <w:pPr>
        <w:bidi w:val="0"/>
        <w:rPr>
          <w:rFonts w:hint="eastAsia" w:ascii="仿宋" w:hAnsi="仿宋" w:eastAsia="仿宋" w:cs="仿宋"/>
          <w:color w:val="auto"/>
          <w:sz w:val="32"/>
          <w:szCs w:val="32"/>
        </w:rPr>
      </w:pPr>
      <w:r>
        <w:rPr>
          <w:rFonts w:hint="eastAsia" w:ascii="仿宋" w:hAnsi="仿宋" w:eastAsia="仿宋" w:cs="仿宋"/>
          <w:color w:val="auto"/>
          <w:sz w:val="32"/>
          <w:szCs w:val="32"/>
        </w:rPr>
        <w:t>规划期为2021－2030年，展望到2035年。</w:t>
      </w:r>
    </w:p>
    <w:p>
      <w:pPr>
        <w:pStyle w:val="4"/>
        <w:rPr>
          <w:rFonts w:hint="eastAsia" w:ascii="仿宋" w:hAnsi="仿宋" w:eastAsia="仿宋" w:cs="仿宋"/>
          <w:color w:val="auto"/>
          <w:sz w:val="32"/>
          <w:szCs w:val="32"/>
        </w:rPr>
      </w:pPr>
    </w:p>
    <w:p>
      <w:pPr>
        <w:pStyle w:val="13"/>
        <w:spacing w:line="360" w:lineRule="auto"/>
        <w:ind w:firstLine="640"/>
        <w:rPr>
          <w:rFonts w:hint="eastAsia" w:ascii="仿宋" w:hAnsi="仿宋" w:eastAsia="仿宋" w:cs="仿宋"/>
          <w:color w:val="auto"/>
          <w:sz w:val="32"/>
          <w:szCs w:val="32"/>
          <w:lang w:val="en-US" w:eastAsia="zh-CN"/>
        </w:rPr>
      </w:pPr>
    </w:p>
    <w:p>
      <w:pPr>
        <w:pStyle w:val="7"/>
        <w:kinsoku w:val="0"/>
        <w:overflowPunct w:val="0"/>
        <w:spacing w:before="11" w:beforeLines="0" w:afterLines="0" w:line="352" w:lineRule="auto"/>
        <w:ind w:left="119" w:right="445" w:firstLine="560" w:firstLineChars="200"/>
        <w:jc w:val="both"/>
        <w:rPr>
          <w:rFonts w:hint="eastAsia" w:ascii="华文中宋" w:hAnsi="华文中宋" w:eastAsia="华文中宋" w:cs="华文中宋"/>
          <w:color w:val="auto"/>
          <w:sz w:val="28"/>
        </w:rPr>
      </w:pPr>
    </w:p>
    <w:p>
      <w:pPr>
        <w:bidi w:val="0"/>
        <w:ind w:firstLine="720" w:firstLineChars="200"/>
        <w:rPr>
          <w:color w:val="auto"/>
        </w:rPr>
      </w:pPr>
    </w:p>
    <w:p>
      <w:pPr>
        <w:pStyle w:val="2"/>
        <w:rPr>
          <w:color w:val="auto"/>
        </w:rPr>
      </w:pPr>
    </w:p>
    <w:p>
      <w:pPr>
        <w:pStyle w:val="2"/>
        <w:rPr>
          <w:color w:val="auto"/>
        </w:rPr>
      </w:pPr>
    </w:p>
    <w:p>
      <w:pPr>
        <w:ind w:left="0" w:leftChars="0" w:firstLine="0" w:firstLineChars="0"/>
        <w:rPr>
          <w:rFonts w:hint="eastAsia"/>
          <w:color w:val="auto"/>
          <w:lang w:val="en-US" w:eastAsia="zh-CN"/>
        </w:rPr>
      </w:pPr>
    </w:p>
    <w:p>
      <w:pPr>
        <w:pStyle w:val="2"/>
        <w:rPr>
          <w:rFonts w:hint="eastAsia"/>
          <w:color w:val="auto"/>
          <w:lang w:val="en-US" w:eastAsia="zh-CN"/>
        </w:rPr>
      </w:pPr>
    </w:p>
    <w:p>
      <w:pPr>
        <w:pStyle w:val="3"/>
        <w:numPr>
          <w:ilvl w:val="0"/>
          <w:numId w:val="1"/>
        </w:numPr>
        <w:bidi w:val="0"/>
        <w:rPr>
          <w:rFonts w:hint="eastAsia"/>
          <w:b w:val="0"/>
          <w:bCs w:val="0"/>
          <w:color w:val="auto"/>
          <w:sz w:val="44"/>
          <w:szCs w:val="44"/>
          <w:lang w:val="en-US" w:eastAsia="zh-CN"/>
        </w:rPr>
      </w:pPr>
      <w:bookmarkStart w:id="36" w:name="_Toc7180_WPSOffice_Level1"/>
      <w:bookmarkStart w:id="37" w:name="_Toc5872_WPSOffice_Level1"/>
      <w:r>
        <w:rPr>
          <w:rFonts w:hint="eastAsia"/>
          <w:b w:val="0"/>
          <w:bCs w:val="0"/>
          <w:color w:val="auto"/>
          <w:sz w:val="44"/>
          <w:szCs w:val="44"/>
          <w:lang w:val="en-US" w:eastAsia="zh-CN"/>
        </w:rPr>
        <w:t>规划背景</w:t>
      </w:r>
      <w:bookmarkEnd w:id="36"/>
      <w:bookmarkEnd w:id="37"/>
    </w:p>
    <w:p>
      <w:pPr>
        <w:numPr>
          <w:ilvl w:val="0"/>
          <w:numId w:val="0"/>
        </w:numPr>
        <w:bidi w:val="0"/>
        <w:ind w:left="0" w:leftChars="0" w:firstLine="640" w:firstLineChars="200"/>
        <w:rPr>
          <w:rFonts w:hint="default"/>
          <w:color w:val="auto"/>
          <w:sz w:val="32"/>
          <w:szCs w:val="32"/>
          <w:lang w:val="en-US" w:eastAsia="zh-CN"/>
        </w:rPr>
      </w:pPr>
      <w:r>
        <w:rPr>
          <w:rFonts w:hint="eastAsia"/>
          <w:color w:val="auto"/>
          <w:sz w:val="32"/>
          <w:szCs w:val="32"/>
          <w:lang w:val="en-US" w:eastAsia="zh-CN"/>
        </w:rPr>
        <w:t>2010年底召开的中央农村工作会议部署“抓紧制定实施全国高标准农田建设规划”，“力争到2020年新建8亿亩高标准农田”。根据《全国新增1000亿斤粮食生产能力规划（2009-2020年）》、《国家农业综合开发高标准农田建设规划》（2011-2020年）、《安徽省高标准农田建设规划（2014-2020年）》、《安徽省乡村振兴战略规划（2018-2022年）》、《池州市乡村振兴战略规划（2018-2022年）》等有关要求，明确全省到2020年建成4670万亩高标准农田，明确全市到2020年建成110万亩高标准农田。这些《规划》颁布实施，有力推进了池州市高标准农田建设顺利实施，为全市粮食生产、农业发展、农民增收做出了积极贡献，也是全市实施新一轮高标准农田建设规划的重要依据。</w:t>
      </w:r>
    </w:p>
    <w:p>
      <w:pPr>
        <w:pStyle w:val="4"/>
        <w:numPr>
          <w:ilvl w:val="0"/>
          <w:numId w:val="2"/>
        </w:numPr>
        <w:bidi w:val="0"/>
        <w:rPr>
          <w:rFonts w:hint="eastAsia"/>
          <w:b w:val="0"/>
          <w:bCs w:val="0"/>
          <w:color w:val="auto"/>
          <w:sz w:val="32"/>
          <w:szCs w:val="32"/>
          <w:lang w:val="en-US" w:eastAsia="zh-CN"/>
        </w:rPr>
      </w:pPr>
      <w:bookmarkStart w:id="38" w:name="_Toc7180_WPSOffice_Level2"/>
      <w:bookmarkStart w:id="39" w:name="_Toc5872_WPSOffice_Level2"/>
      <w:r>
        <w:rPr>
          <w:rFonts w:hint="eastAsia"/>
          <w:b w:val="0"/>
          <w:bCs w:val="0"/>
          <w:color w:val="auto"/>
          <w:sz w:val="32"/>
          <w:szCs w:val="32"/>
          <w:lang w:val="en-US" w:eastAsia="zh-CN"/>
        </w:rPr>
        <w:t>建设成效</w:t>
      </w:r>
      <w:bookmarkEnd w:id="38"/>
      <w:bookmarkEnd w:id="39"/>
    </w:p>
    <w:p>
      <w:pPr>
        <w:numPr>
          <w:ilvl w:val="0"/>
          <w:numId w:val="3"/>
        </w:numPr>
        <w:bidi w:val="0"/>
        <w:ind w:left="0" w:leftChars="0" w:firstLine="640" w:firstLineChars="200"/>
        <w:rPr>
          <w:rFonts w:hint="eastAsia"/>
          <w:color w:val="auto"/>
          <w:sz w:val="32"/>
          <w:szCs w:val="32"/>
        </w:rPr>
      </w:pPr>
      <w:r>
        <w:rPr>
          <w:rFonts w:hint="eastAsia" w:ascii="楷体" w:hAnsi="楷体" w:eastAsia="楷体" w:cs="楷体"/>
          <w:color w:val="auto"/>
          <w:sz w:val="32"/>
          <w:szCs w:val="32"/>
        </w:rPr>
        <w:t>提高了粮食综合生产能力。</w:t>
      </w:r>
      <w:r>
        <w:rPr>
          <w:rFonts w:hint="eastAsia"/>
          <w:color w:val="auto"/>
          <w:sz w:val="32"/>
          <w:szCs w:val="32"/>
        </w:rPr>
        <w:t>截至202</w:t>
      </w:r>
      <w:r>
        <w:rPr>
          <w:rFonts w:hint="eastAsia"/>
          <w:color w:val="auto"/>
          <w:sz w:val="32"/>
          <w:szCs w:val="32"/>
          <w:lang w:val="en-US" w:eastAsia="zh-CN"/>
        </w:rPr>
        <w:t>1</w:t>
      </w:r>
      <w:r>
        <w:rPr>
          <w:rFonts w:hint="eastAsia"/>
          <w:color w:val="auto"/>
          <w:sz w:val="32"/>
          <w:szCs w:val="32"/>
        </w:rPr>
        <w:t>年底,全</w:t>
      </w:r>
      <w:r>
        <w:rPr>
          <w:rFonts w:hint="eastAsia"/>
          <w:color w:val="auto"/>
          <w:sz w:val="32"/>
          <w:szCs w:val="32"/>
          <w:lang w:val="en-US" w:eastAsia="zh-CN"/>
        </w:rPr>
        <w:t>市</w:t>
      </w:r>
      <w:r>
        <w:rPr>
          <w:rFonts w:hint="eastAsia"/>
          <w:color w:val="auto"/>
          <w:sz w:val="32"/>
          <w:szCs w:val="32"/>
        </w:rPr>
        <w:t>已完成</w:t>
      </w:r>
      <w:r>
        <w:rPr>
          <w:rFonts w:hint="eastAsia"/>
          <w:color w:val="auto"/>
          <w:sz w:val="32"/>
          <w:szCs w:val="32"/>
          <w:lang w:val="en-US" w:eastAsia="zh-CN"/>
        </w:rPr>
        <w:t>122.85万</w:t>
      </w:r>
      <w:r>
        <w:rPr>
          <w:rFonts w:hint="eastAsia"/>
          <w:color w:val="auto"/>
          <w:sz w:val="32"/>
          <w:szCs w:val="32"/>
        </w:rPr>
        <w:t>亩高标准农田建设任务</w:t>
      </w:r>
      <w:r>
        <w:rPr>
          <w:rFonts w:hint="eastAsia" w:ascii="仿宋" w:hAnsi="仿宋" w:eastAsia="仿宋" w:cs="仿宋"/>
          <w:color w:val="auto"/>
          <w:sz w:val="32"/>
          <w:szCs w:val="32"/>
        </w:rPr>
        <w:t>（</w:t>
      </w:r>
      <w:r>
        <w:rPr>
          <w:rFonts w:hint="eastAsia" w:ascii="仿宋" w:hAnsi="仿宋" w:cs="仿宋"/>
          <w:color w:val="auto"/>
          <w:sz w:val="32"/>
          <w:szCs w:val="32"/>
          <w:lang w:eastAsia="zh-CN"/>
        </w:rPr>
        <w:t>农业农村部“十二五”以来清查评估</w:t>
      </w:r>
      <w:r>
        <w:rPr>
          <w:rFonts w:hint="eastAsia" w:ascii="仿宋" w:hAnsi="仿宋" w:eastAsia="仿宋" w:cs="仿宋"/>
          <w:color w:val="auto"/>
          <w:sz w:val="32"/>
          <w:szCs w:val="32"/>
        </w:rPr>
        <w:t>数据）</w:t>
      </w:r>
      <w:r>
        <w:rPr>
          <w:rFonts w:hint="eastAsia"/>
          <w:color w:val="auto"/>
          <w:sz w:val="32"/>
          <w:szCs w:val="32"/>
        </w:rPr>
        <w:t>。通过完善农田基础设施,改善农业生产条件,增强了农田防灾抗灾减灾能力,巩固和提升了粮食综合生产能力。稳定了农民种粮的积极性,为我</w:t>
      </w:r>
      <w:r>
        <w:rPr>
          <w:rFonts w:hint="eastAsia"/>
          <w:color w:val="auto"/>
          <w:sz w:val="32"/>
          <w:szCs w:val="32"/>
          <w:lang w:val="en-US" w:eastAsia="zh-CN"/>
        </w:rPr>
        <w:t>市</w:t>
      </w:r>
      <w:r>
        <w:rPr>
          <w:rFonts w:hint="eastAsia"/>
          <w:color w:val="auto"/>
          <w:sz w:val="32"/>
          <w:szCs w:val="32"/>
        </w:rPr>
        <w:t>粮食连续多年丰收提供了重要支撑。</w:t>
      </w:r>
    </w:p>
    <w:p>
      <w:pPr>
        <w:pStyle w:val="2"/>
        <w:numPr>
          <w:ilvl w:val="0"/>
          <w:numId w:val="0"/>
        </w:num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eastAsia="仿宋_GB2312"/>
          <w:lang w:eastAsia="zh-CN"/>
        </w:rPr>
      </w:pPr>
      <w:r>
        <w:rPr>
          <w:rFonts w:hint="eastAsia"/>
          <w:color w:val="auto"/>
          <w:lang w:eastAsia="zh-CN"/>
        </w:rPr>
        <w:t>图</w:t>
      </w:r>
      <w:r>
        <w:rPr>
          <w:color w:val="auto"/>
        </w:rPr>
        <w:t>1</w:t>
      </w:r>
      <w:r>
        <w:rPr>
          <w:rFonts w:hint="eastAsia"/>
          <w:color w:val="auto"/>
          <w:lang w:val="en-US" w:eastAsia="zh-CN"/>
        </w:rPr>
        <w:t>池州市</w:t>
      </w:r>
      <w:r>
        <w:rPr>
          <w:rFonts w:hint="eastAsia"/>
          <w:color w:val="auto"/>
          <w:lang w:eastAsia="zh-CN"/>
        </w:rPr>
        <w:t>耕地现状分布图</w:t>
      </w:r>
    </w:p>
    <w:p>
      <w:pPr>
        <w:pStyle w:val="2"/>
        <w:numPr>
          <w:ilvl w:val="0"/>
          <w:numId w:val="0"/>
        </w:numPr>
        <w:jc w:val="center"/>
        <w:rPr>
          <w:rFonts w:hint="eastAsia" w:eastAsia="仿宋_GB2312"/>
          <w:lang w:eastAsia="zh-CN"/>
        </w:rPr>
      </w:pPr>
      <w:r>
        <w:rPr>
          <w:rFonts w:hint="eastAsia" w:eastAsiaTheme="minorEastAsia"/>
          <w:lang w:eastAsia="zh-CN"/>
        </w:rPr>
        <w:drawing>
          <wp:inline distT="0" distB="0" distL="114300" distR="114300">
            <wp:extent cx="5157470" cy="7033895"/>
            <wp:effectExtent l="0" t="0" r="5080" b="14605"/>
            <wp:docPr id="6" name="图片 6" descr="2.池州市耕地现状"/>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2.池州市耕地现状"/>
                    <pic:cNvPicPr>
                      <a:picLocks noChangeAspect="true"/>
                    </pic:cNvPicPr>
                  </pic:nvPicPr>
                  <pic:blipFill>
                    <a:blip r:embed="rId7"/>
                    <a:srcRect l="1108" t="3896" r="1048" b="190"/>
                    <a:stretch>
                      <a:fillRect/>
                    </a:stretch>
                  </pic:blipFill>
                  <pic:spPr>
                    <a:xfrm>
                      <a:off x="0" y="0"/>
                      <a:ext cx="5157470" cy="703389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color w:val="auto"/>
          <w:lang w:eastAsia="zh-CN"/>
        </w:rPr>
      </w:pPr>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color w:val="auto"/>
          <w:lang w:eastAsia="zh-CN"/>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eastAsia="仿宋_GB2312"/>
          <w:lang w:eastAsia="zh-CN"/>
        </w:rPr>
      </w:pPr>
      <w:r>
        <w:rPr>
          <w:rFonts w:hint="eastAsia"/>
          <w:color w:val="auto"/>
          <w:lang w:eastAsia="zh-CN"/>
        </w:rPr>
        <w:t>图</w:t>
      </w:r>
      <w:r>
        <w:rPr>
          <w:rFonts w:hint="eastAsia"/>
          <w:color w:val="auto"/>
          <w:lang w:val="en-US" w:eastAsia="zh-CN"/>
        </w:rPr>
        <w:t>2池州市</w:t>
      </w:r>
      <w:r>
        <w:rPr>
          <w:rFonts w:hint="eastAsia"/>
          <w:color w:val="auto"/>
          <w:lang w:eastAsia="zh-CN"/>
        </w:rPr>
        <w:t>已实施高标准农田建设项目分布图</w:t>
      </w:r>
    </w:p>
    <w:p>
      <w:pPr>
        <w:pStyle w:val="2"/>
        <w:numPr>
          <w:ilvl w:val="0"/>
          <w:numId w:val="0"/>
        </w:numPr>
        <w:jc w:val="center"/>
        <w:rPr>
          <w:rFonts w:hint="eastAsia" w:eastAsia="仿宋_GB2312"/>
          <w:lang w:eastAsia="zh-CN"/>
        </w:rPr>
      </w:pPr>
    </w:p>
    <w:p>
      <w:pPr>
        <w:pStyle w:val="2"/>
        <w:numPr>
          <w:ilvl w:val="0"/>
          <w:numId w:val="0"/>
        </w:numPr>
        <w:jc w:val="center"/>
        <w:rPr>
          <w:rFonts w:hint="eastAsia" w:eastAsia="仿宋_GB2312"/>
          <w:lang w:eastAsia="zh-CN"/>
        </w:rPr>
      </w:pPr>
      <w:r>
        <w:rPr>
          <w:rFonts w:hint="eastAsia" w:eastAsiaTheme="minorEastAsia"/>
          <w:lang w:eastAsia="zh-CN"/>
        </w:rPr>
        <w:drawing>
          <wp:inline distT="0" distB="0" distL="114300" distR="114300">
            <wp:extent cx="5136515" cy="7018020"/>
            <wp:effectExtent l="0" t="0" r="6985" b="11430"/>
            <wp:docPr id="1" name="图片 1" descr="1池州市已实施高标准农田"/>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descr="1池州市已实施高标准农田"/>
                    <pic:cNvPicPr>
                      <a:picLocks noChangeAspect="true"/>
                    </pic:cNvPicPr>
                  </pic:nvPicPr>
                  <pic:blipFill>
                    <a:blip r:embed="rId8"/>
                    <a:srcRect l="976" t="4070" r="1578" b="234"/>
                    <a:stretch>
                      <a:fillRect/>
                    </a:stretch>
                  </pic:blipFill>
                  <pic:spPr>
                    <a:xfrm>
                      <a:off x="0" y="0"/>
                      <a:ext cx="5136515" cy="7018020"/>
                    </a:xfrm>
                    <a:prstGeom prst="rect">
                      <a:avLst/>
                    </a:prstGeom>
                  </pic:spPr>
                </pic:pic>
              </a:graphicData>
            </a:graphic>
          </wp:inline>
        </w:drawing>
      </w:r>
    </w:p>
    <w:p>
      <w:pPr>
        <w:pStyle w:val="2"/>
        <w:numPr>
          <w:ilvl w:val="0"/>
          <w:numId w:val="0"/>
        </w:numPr>
        <w:rPr>
          <w:rFonts w:hint="eastAsia" w:eastAsia="仿宋_GB2312"/>
          <w:lang w:eastAsia="zh-CN"/>
        </w:rPr>
      </w:pPr>
    </w:p>
    <w:p>
      <w:pPr>
        <w:numPr>
          <w:ilvl w:val="0"/>
          <w:numId w:val="0"/>
        </w:numPr>
        <w:bidi w:val="0"/>
        <w:ind w:left="0" w:leftChars="0" w:firstLine="640" w:firstLineChars="200"/>
        <w:rPr>
          <w:rFonts w:hint="default"/>
          <w:color w:val="auto"/>
          <w:sz w:val="32"/>
          <w:szCs w:val="32"/>
          <w:lang w:val="en-US" w:eastAsia="zh-CN"/>
        </w:rPr>
      </w:pPr>
      <w:r>
        <w:rPr>
          <w:rFonts w:hint="eastAsia" w:ascii="楷体" w:hAnsi="楷体" w:eastAsia="楷体" w:cs="楷体"/>
          <w:color w:val="auto"/>
          <w:sz w:val="32"/>
          <w:szCs w:val="32"/>
          <w:lang w:eastAsia="zh-CN"/>
        </w:rPr>
        <w:t>（二）</w:t>
      </w:r>
      <w:r>
        <w:rPr>
          <w:rFonts w:hint="eastAsia" w:ascii="楷体" w:hAnsi="楷体" w:eastAsia="楷体" w:cs="楷体"/>
          <w:color w:val="auto"/>
          <w:sz w:val="32"/>
          <w:szCs w:val="32"/>
        </w:rPr>
        <w:t>推动了农业生产经营方式转变。</w:t>
      </w:r>
      <w:r>
        <w:rPr>
          <w:color w:val="auto"/>
          <w:sz w:val="32"/>
          <w:szCs w:val="32"/>
        </w:rPr>
        <w:t>通过集中连片开展田块整治、土壤改良、配套设施建设等措施，解决了耕地碎片化、质量下降、设施不配套等问题，</w:t>
      </w:r>
      <w:r>
        <w:rPr>
          <w:rFonts w:hint="eastAsia"/>
          <w:color w:val="auto"/>
          <w:sz w:val="32"/>
          <w:szCs w:val="32"/>
          <w:lang w:eastAsia="zh-CN"/>
        </w:rPr>
        <w:t>促进了</w:t>
      </w:r>
      <w:r>
        <w:rPr>
          <w:color w:val="auto"/>
          <w:sz w:val="32"/>
          <w:szCs w:val="32"/>
        </w:rPr>
        <w:t>土地流转，</w:t>
      </w:r>
      <w:r>
        <w:rPr>
          <w:rFonts w:hint="eastAsia" w:ascii="仿宋" w:hAnsi="仿宋" w:eastAsia="仿宋" w:cs="仿宋"/>
          <w:color w:val="auto"/>
          <w:sz w:val="32"/>
          <w:szCs w:val="32"/>
          <w:lang w:eastAsia="zh-CN"/>
        </w:rPr>
        <w:t>直接或间接实现了“小田变大田”</w:t>
      </w:r>
      <w:r>
        <w:rPr>
          <w:rFonts w:hint="eastAsia"/>
          <w:color w:val="auto"/>
          <w:sz w:val="32"/>
          <w:szCs w:val="32"/>
          <w:lang w:eastAsia="zh-CN"/>
        </w:rPr>
        <w:t>，</w:t>
      </w:r>
      <w:r>
        <w:rPr>
          <w:color w:val="auto"/>
          <w:sz w:val="32"/>
          <w:szCs w:val="32"/>
        </w:rPr>
        <w:t>提升了农业规模化、标准化、专业化经营水平，促进了新品种、新技术、新模式、新装备推广应用，推动了农业生产方式、经营方式、资源利用方式等转变，提高了农业综合效益和竞争力。</w:t>
      </w:r>
    </w:p>
    <w:p>
      <w:pPr>
        <w:numPr>
          <w:ilvl w:val="0"/>
          <w:numId w:val="0"/>
        </w:numPr>
        <w:bidi w:val="0"/>
        <w:ind w:left="0" w:leftChars="0" w:firstLine="640" w:firstLineChars="200"/>
        <w:rPr>
          <w:color w:val="auto"/>
          <w:sz w:val="32"/>
          <w:szCs w:val="32"/>
        </w:rPr>
      </w:pPr>
      <w:r>
        <w:rPr>
          <w:rFonts w:hint="eastAsia" w:ascii="楷体" w:hAnsi="楷体" w:eastAsia="楷体" w:cs="楷体"/>
          <w:color w:val="auto"/>
          <w:sz w:val="32"/>
          <w:szCs w:val="32"/>
          <w:lang w:eastAsia="zh-CN"/>
        </w:rPr>
        <w:t>（三）</w:t>
      </w:r>
      <w:r>
        <w:rPr>
          <w:rFonts w:hint="eastAsia" w:ascii="楷体" w:hAnsi="楷体" w:eastAsia="楷体" w:cs="楷体"/>
          <w:color w:val="auto"/>
          <w:sz w:val="32"/>
          <w:szCs w:val="32"/>
        </w:rPr>
        <w:t>改善了农业生态环境</w:t>
      </w:r>
      <w:r>
        <w:rPr>
          <w:rFonts w:hint="eastAsia" w:ascii="楷体" w:hAnsi="楷体" w:eastAsia="楷体" w:cs="楷体"/>
          <w:color w:val="auto"/>
          <w:sz w:val="32"/>
          <w:szCs w:val="32"/>
          <w:lang w:eastAsia="zh-CN"/>
        </w:rPr>
        <w:t>。</w:t>
      </w:r>
      <w:r>
        <w:rPr>
          <w:color w:val="auto"/>
          <w:sz w:val="32"/>
          <w:szCs w:val="32"/>
        </w:rPr>
        <w:t>通过田块整治、林网栽植、灌排工程建设、土壤改良与酸化防治等措施，调整优化了农田生态格局，增强了农田生态防护能力，保护了农田生态环境。开展生态农田建设试点示范，统筹推进生态田园与美丽村庄建设，推动了高标准农田建设与农村人居环境改善相结合，提高了农业农村绿色可持续发展能力。</w:t>
      </w:r>
    </w:p>
    <w:p>
      <w:pPr>
        <w:numPr>
          <w:ilvl w:val="0"/>
          <w:numId w:val="0"/>
        </w:numPr>
        <w:bidi w:val="0"/>
        <w:ind w:left="0" w:leftChars="0" w:firstLine="640" w:firstLineChars="200"/>
        <w:rPr>
          <w:rFonts w:hint="default"/>
          <w:color w:val="auto"/>
          <w:sz w:val="32"/>
          <w:szCs w:val="32"/>
          <w:lang w:val="en-US" w:eastAsia="zh-CN"/>
        </w:rPr>
      </w:pPr>
      <w:r>
        <w:rPr>
          <w:rFonts w:hint="eastAsia" w:ascii="楷体" w:hAnsi="楷体" w:eastAsia="楷体" w:cs="楷体"/>
          <w:color w:val="auto"/>
          <w:sz w:val="32"/>
          <w:szCs w:val="32"/>
          <w:lang w:eastAsia="zh-CN"/>
        </w:rPr>
        <w:t>（四）带动</w:t>
      </w:r>
      <w:r>
        <w:rPr>
          <w:rFonts w:hint="eastAsia" w:ascii="楷体" w:hAnsi="楷体" w:eastAsia="楷体" w:cs="楷体"/>
          <w:color w:val="auto"/>
          <w:sz w:val="32"/>
          <w:szCs w:val="32"/>
          <w:lang w:val="en-US" w:eastAsia="zh-CN"/>
        </w:rPr>
        <w:t>了</w:t>
      </w:r>
      <w:r>
        <w:rPr>
          <w:rFonts w:hint="eastAsia" w:ascii="楷体" w:hAnsi="楷体" w:eastAsia="楷体" w:cs="楷体"/>
          <w:color w:val="auto"/>
          <w:sz w:val="32"/>
          <w:szCs w:val="32"/>
          <w:lang w:eastAsia="zh-CN"/>
        </w:rPr>
        <w:t>农民增收致富。</w:t>
      </w:r>
      <w:r>
        <w:rPr>
          <w:rFonts w:hint="eastAsia"/>
          <w:color w:val="auto"/>
          <w:sz w:val="32"/>
          <w:szCs w:val="32"/>
        </w:rPr>
        <w:t>通过高标准农田建设</w:t>
      </w:r>
      <w:r>
        <w:rPr>
          <w:rFonts w:hint="eastAsia"/>
          <w:color w:val="auto"/>
          <w:sz w:val="32"/>
          <w:szCs w:val="32"/>
          <w:lang w:eastAsia="zh-CN"/>
        </w:rPr>
        <w:t>，</w:t>
      </w:r>
      <w:r>
        <w:rPr>
          <w:rFonts w:hint="eastAsia"/>
          <w:color w:val="auto"/>
          <w:sz w:val="32"/>
          <w:szCs w:val="32"/>
        </w:rPr>
        <w:t>集中连片开展田块平整、土壤改良、农田配套设施建设等措施，有效解决了耕地碎片化、质量下降、设施不配套等问题，明显改善农业生产条件，降低农业生产成本</w:t>
      </w:r>
      <w:r>
        <w:rPr>
          <w:rFonts w:hint="eastAsia"/>
          <w:color w:val="auto"/>
          <w:sz w:val="32"/>
          <w:szCs w:val="32"/>
          <w:lang w:eastAsia="zh-CN"/>
        </w:rPr>
        <w:t>，</w:t>
      </w:r>
      <w:r>
        <w:rPr>
          <w:rFonts w:hint="eastAsia"/>
          <w:color w:val="auto"/>
          <w:sz w:val="32"/>
          <w:szCs w:val="32"/>
        </w:rPr>
        <w:t>提高了生产效率，增加了土地流转收入</w:t>
      </w:r>
      <w:r>
        <w:rPr>
          <w:rFonts w:hint="eastAsia"/>
          <w:color w:val="auto"/>
          <w:sz w:val="32"/>
          <w:szCs w:val="32"/>
          <w:lang w:eastAsia="zh-CN"/>
        </w:rPr>
        <w:t>。</w:t>
      </w:r>
    </w:p>
    <w:p>
      <w:pPr>
        <w:pStyle w:val="4"/>
        <w:numPr>
          <w:ilvl w:val="0"/>
          <w:numId w:val="2"/>
        </w:numPr>
        <w:bidi w:val="0"/>
        <w:rPr>
          <w:rFonts w:hint="eastAsia"/>
          <w:b w:val="0"/>
          <w:bCs w:val="0"/>
          <w:color w:val="auto"/>
          <w:sz w:val="32"/>
          <w:szCs w:val="32"/>
          <w:lang w:val="en-US" w:eastAsia="zh-CN"/>
        </w:rPr>
      </w:pPr>
      <w:bookmarkStart w:id="40" w:name="_Toc30590_WPSOffice_Level2"/>
      <w:bookmarkStart w:id="41" w:name="_Toc5088_WPSOffice_Level2"/>
      <w:r>
        <w:rPr>
          <w:rFonts w:hint="eastAsia"/>
          <w:b w:val="0"/>
          <w:bCs w:val="0"/>
          <w:color w:val="auto"/>
          <w:sz w:val="32"/>
          <w:szCs w:val="32"/>
          <w:lang w:val="en-US" w:eastAsia="zh-CN"/>
        </w:rPr>
        <w:t>存在问题</w:t>
      </w:r>
      <w:bookmarkEnd w:id="40"/>
      <w:bookmarkEnd w:id="41"/>
    </w:p>
    <w:p>
      <w:pPr>
        <w:numPr>
          <w:ilvl w:val="0"/>
          <w:numId w:val="0"/>
        </w:numPr>
        <w:bidi w:val="0"/>
        <w:ind w:firstLine="640" w:firstLineChars="200"/>
        <w:rPr>
          <w:rFonts w:hint="eastAsia"/>
          <w:color w:val="auto"/>
          <w:sz w:val="32"/>
          <w:szCs w:val="32"/>
          <w:lang w:eastAsia="zh-CN"/>
        </w:rPr>
      </w:pPr>
      <w:r>
        <w:rPr>
          <w:rFonts w:hint="eastAsia" w:ascii="楷体" w:hAnsi="楷体" w:eastAsia="楷体" w:cs="楷体"/>
          <w:color w:val="auto"/>
          <w:sz w:val="32"/>
          <w:szCs w:val="32"/>
          <w:lang w:eastAsia="zh-CN"/>
        </w:rPr>
        <w:t>（一）建设任务十分艰巨。</w:t>
      </w:r>
      <w:r>
        <w:rPr>
          <w:rFonts w:hint="eastAsia"/>
          <w:color w:val="auto"/>
          <w:sz w:val="32"/>
          <w:szCs w:val="32"/>
        </w:rPr>
        <w:t>根据《</w:t>
      </w:r>
      <w:r>
        <w:rPr>
          <w:rFonts w:hint="eastAsia"/>
          <w:color w:val="auto"/>
          <w:sz w:val="32"/>
          <w:szCs w:val="32"/>
          <w:lang w:val="en-US" w:eastAsia="zh-CN"/>
        </w:rPr>
        <w:t>安徽省</w:t>
      </w:r>
      <w:r>
        <w:rPr>
          <w:rFonts w:hint="eastAsia"/>
          <w:color w:val="auto"/>
          <w:sz w:val="32"/>
          <w:szCs w:val="32"/>
        </w:rPr>
        <w:t>高标准农田建设规划（2021－2030年）》部署，</w:t>
      </w:r>
      <w:r>
        <w:rPr>
          <w:rFonts w:hint="eastAsia"/>
          <w:color w:val="auto"/>
          <w:sz w:val="32"/>
          <w:szCs w:val="32"/>
          <w:lang w:val="en-US" w:eastAsia="zh-CN"/>
        </w:rPr>
        <w:t>规划期间</w:t>
      </w:r>
      <w:r>
        <w:rPr>
          <w:rFonts w:hint="eastAsia"/>
          <w:color w:val="auto"/>
          <w:sz w:val="32"/>
          <w:szCs w:val="32"/>
        </w:rPr>
        <w:t>，</w:t>
      </w:r>
      <w:r>
        <w:rPr>
          <w:rFonts w:hint="eastAsia"/>
          <w:color w:val="auto"/>
          <w:sz w:val="32"/>
          <w:szCs w:val="32"/>
          <w:lang w:val="en-US" w:eastAsia="zh-CN"/>
        </w:rPr>
        <w:t>池州市</w:t>
      </w:r>
      <w:r>
        <w:rPr>
          <w:rFonts w:hint="eastAsia"/>
          <w:color w:val="auto"/>
          <w:sz w:val="32"/>
          <w:szCs w:val="32"/>
        </w:rPr>
        <w:t>要</w:t>
      </w:r>
      <w:r>
        <w:rPr>
          <w:rFonts w:hint="eastAsia"/>
          <w:color w:val="auto"/>
          <w:sz w:val="32"/>
          <w:szCs w:val="32"/>
          <w:lang w:val="en-US" w:eastAsia="zh-CN"/>
        </w:rPr>
        <w:t>新</w:t>
      </w:r>
      <w:r>
        <w:rPr>
          <w:rFonts w:hint="eastAsia"/>
          <w:color w:val="auto"/>
          <w:sz w:val="32"/>
          <w:szCs w:val="32"/>
          <w:lang w:eastAsia="zh-CN"/>
        </w:rPr>
        <w:t>增</w:t>
      </w:r>
      <w:r>
        <w:rPr>
          <w:rFonts w:hint="eastAsia"/>
          <w:color w:val="auto"/>
          <w:sz w:val="32"/>
          <w:szCs w:val="32"/>
          <w:lang w:val="en-US" w:eastAsia="zh-CN"/>
        </w:rPr>
        <w:t>51</w:t>
      </w:r>
      <w:r>
        <w:rPr>
          <w:rFonts w:hint="eastAsia"/>
          <w:color w:val="auto"/>
          <w:sz w:val="32"/>
          <w:szCs w:val="32"/>
        </w:rPr>
        <w:t>万亩高标准农田，</w:t>
      </w:r>
      <w:r>
        <w:rPr>
          <w:rFonts w:hint="eastAsia"/>
          <w:color w:val="auto"/>
          <w:sz w:val="32"/>
          <w:szCs w:val="32"/>
          <w:lang w:val="en-US" w:eastAsia="zh-CN"/>
        </w:rPr>
        <w:t>改造提升62</w:t>
      </w:r>
      <w:r>
        <w:rPr>
          <w:rFonts w:hint="eastAsia"/>
          <w:color w:val="auto"/>
          <w:sz w:val="32"/>
          <w:szCs w:val="32"/>
        </w:rPr>
        <w:t>万亩高标准农田</w:t>
      </w:r>
      <w:r>
        <w:rPr>
          <w:rFonts w:hint="eastAsia"/>
          <w:color w:val="auto"/>
          <w:sz w:val="32"/>
          <w:szCs w:val="32"/>
          <w:lang w:eastAsia="zh-CN"/>
        </w:rPr>
        <w:t>，</w:t>
      </w:r>
      <w:r>
        <w:rPr>
          <w:rFonts w:hint="eastAsia"/>
          <w:color w:val="auto"/>
          <w:sz w:val="32"/>
          <w:szCs w:val="32"/>
        </w:rPr>
        <w:t>建设任务十分艰巨。特别是随着高标准农田建设持续推进，易开发建设的耕地资源逐步减少，一些基础条件相对较弱、碎片化分布的耕地逐步纳入建设，与高标准农田规模化的建设要求矛盾越来越大，建设难度不断增加；已建高标准农田由于前期投入标准偏低，田间排灌等基础设施建设不配套，自然灾害破坏、日常管护不到位等造成部分工程设施损毁，提质改造建设任务繁重。</w:t>
      </w: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eastAsia="仿宋_GB2312"/>
          <w:lang w:eastAsia="zh-CN"/>
        </w:rPr>
      </w:pPr>
      <w:r>
        <w:rPr>
          <w:rFonts w:hint="eastAsia"/>
          <w:color w:val="auto"/>
          <w:lang w:eastAsia="zh-CN"/>
        </w:rPr>
        <w:t>图</w:t>
      </w:r>
      <w:r>
        <w:rPr>
          <w:rFonts w:hint="eastAsia"/>
          <w:color w:val="auto"/>
          <w:lang w:val="en-US" w:eastAsia="zh-CN"/>
        </w:rPr>
        <w:t>3池州市</w:t>
      </w:r>
      <w:r>
        <w:rPr>
          <w:rFonts w:hint="eastAsia"/>
          <w:color w:val="auto"/>
          <w:lang w:eastAsia="zh-CN"/>
        </w:rPr>
        <w:t>已未实施高标准农田建设项目分布图</w:t>
      </w:r>
    </w:p>
    <w:p>
      <w:pPr>
        <w:pStyle w:val="2"/>
        <w:jc w:val="center"/>
        <w:rPr>
          <w:rFonts w:hint="eastAsia"/>
        </w:rPr>
      </w:pPr>
      <w:r>
        <w:rPr>
          <w:rFonts w:hint="eastAsia" w:eastAsiaTheme="minorEastAsia"/>
          <w:lang w:eastAsia="zh-CN"/>
        </w:rPr>
        <w:drawing>
          <wp:inline distT="0" distB="0" distL="114300" distR="114300">
            <wp:extent cx="5229225" cy="4723765"/>
            <wp:effectExtent l="0" t="0" r="9525" b="635"/>
            <wp:docPr id="3" name="图片 3" descr="3.池州市未实施区域耕地"/>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descr="3.池州市未实施区域耕地"/>
                    <pic:cNvPicPr>
                      <a:picLocks noChangeAspect="true"/>
                    </pic:cNvPicPr>
                  </pic:nvPicPr>
                  <pic:blipFill>
                    <a:blip r:embed="rId9"/>
                    <a:srcRect l="1506" t="3948" r="1313" b="286"/>
                    <a:stretch>
                      <a:fillRect/>
                    </a:stretch>
                  </pic:blipFill>
                  <pic:spPr>
                    <a:xfrm>
                      <a:off x="0" y="0"/>
                      <a:ext cx="5229225" cy="4723765"/>
                    </a:xfrm>
                    <a:prstGeom prst="rect">
                      <a:avLst/>
                    </a:prstGeom>
                  </pic:spPr>
                </pic:pic>
              </a:graphicData>
            </a:graphic>
          </wp:inline>
        </w:drawing>
      </w:r>
    </w:p>
    <w:p>
      <w:pPr>
        <w:numPr>
          <w:ilvl w:val="0"/>
          <w:numId w:val="0"/>
        </w:numPr>
        <w:bidi w:val="0"/>
        <w:ind w:left="0" w:leftChars="0" w:firstLine="640" w:firstLineChars="200"/>
        <w:rPr>
          <w:color w:val="auto"/>
          <w:sz w:val="32"/>
          <w:szCs w:val="32"/>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二</w:t>
      </w:r>
      <w:r>
        <w:rPr>
          <w:rFonts w:hint="eastAsia" w:ascii="楷体" w:hAnsi="楷体" w:eastAsia="楷体" w:cs="楷体"/>
          <w:color w:val="auto"/>
          <w:sz w:val="32"/>
          <w:szCs w:val="32"/>
          <w:lang w:eastAsia="zh-CN"/>
        </w:rPr>
        <w:t>）投入标准需要提升。</w:t>
      </w:r>
      <w:r>
        <w:rPr>
          <w:color w:val="auto"/>
          <w:sz w:val="32"/>
          <w:szCs w:val="32"/>
        </w:rPr>
        <w:t>随着高标准农田建设深入推进，集中连片、基础条件较好的地块越来越少，剩下的多是位置偏远、地块零碎、基础较差</w:t>
      </w:r>
      <w:r>
        <w:rPr>
          <w:rFonts w:hint="eastAsia"/>
          <w:color w:val="auto"/>
          <w:sz w:val="32"/>
          <w:szCs w:val="32"/>
          <w:lang w:val="en-US" w:eastAsia="zh-CN"/>
        </w:rPr>
        <w:t>地区</w:t>
      </w:r>
      <w:r>
        <w:rPr>
          <w:rFonts w:hint="eastAsia"/>
          <w:color w:val="auto"/>
          <w:sz w:val="32"/>
          <w:szCs w:val="32"/>
        </w:rPr>
        <w:t>，</w:t>
      </w:r>
      <w:r>
        <w:rPr>
          <w:color w:val="auto"/>
          <w:sz w:val="32"/>
          <w:szCs w:val="32"/>
        </w:rPr>
        <w:t>建设难度大，施工成本高。</w:t>
      </w:r>
      <w:r>
        <w:rPr>
          <w:rFonts w:hint="eastAsia"/>
          <w:color w:val="auto"/>
          <w:sz w:val="32"/>
          <w:szCs w:val="32"/>
          <w:lang w:eastAsia="zh-CN"/>
        </w:rPr>
        <w:t>部分区域</w:t>
      </w:r>
      <w:r>
        <w:rPr>
          <w:color w:val="auto"/>
          <w:sz w:val="32"/>
          <w:szCs w:val="32"/>
        </w:rPr>
        <w:t>耕地土壤退化严重，耕地质量建设要求高，任务重。受此影响，一些地方高标准农田建设内容不完善、工程措施不配套，难以达到国家规定的标准。</w:t>
      </w:r>
    </w:p>
    <w:p>
      <w:pPr>
        <w:numPr>
          <w:ilvl w:val="0"/>
          <w:numId w:val="0"/>
        </w:numPr>
        <w:bidi w:val="0"/>
        <w:ind w:left="0" w:leftChars="0" w:firstLine="640" w:firstLineChars="200"/>
        <w:rPr>
          <w:color w:val="auto"/>
          <w:sz w:val="32"/>
          <w:szCs w:val="32"/>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三</w:t>
      </w:r>
      <w:r>
        <w:rPr>
          <w:rFonts w:hint="eastAsia" w:ascii="楷体" w:hAnsi="楷体" w:eastAsia="楷体" w:cs="楷体"/>
          <w:color w:val="auto"/>
          <w:sz w:val="32"/>
          <w:szCs w:val="32"/>
          <w:lang w:eastAsia="zh-CN"/>
        </w:rPr>
        <w:t>）管护机制亟待健全。</w:t>
      </w:r>
      <w:r>
        <w:rPr>
          <w:rFonts w:hint="eastAsia"/>
          <w:color w:val="auto"/>
          <w:sz w:val="32"/>
          <w:szCs w:val="32"/>
        </w:rPr>
        <w:t>农田建设三分建、七分管。部分高标准农田建成后，仍然存在管护资金缺乏、管护责任难落实等问题，后续缺少长期监测评价和跟踪督导</w:t>
      </w:r>
      <w:r>
        <w:rPr>
          <w:rFonts w:hint="eastAsia"/>
          <w:color w:val="auto"/>
          <w:sz w:val="32"/>
          <w:szCs w:val="32"/>
          <w:lang w:eastAsia="zh-CN"/>
        </w:rPr>
        <w:t>。</w:t>
      </w:r>
      <w:r>
        <w:rPr>
          <w:rFonts w:hint="eastAsia"/>
          <w:color w:val="auto"/>
          <w:sz w:val="32"/>
          <w:szCs w:val="32"/>
        </w:rPr>
        <w:t>一些项目日常管护不到位，设施设备损毁后得不到及时有效修复</w:t>
      </w:r>
      <w:r>
        <w:rPr>
          <w:rFonts w:hint="eastAsia"/>
          <w:color w:val="auto"/>
          <w:sz w:val="32"/>
          <w:szCs w:val="32"/>
          <w:lang w:eastAsia="zh-CN"/>
        </w:rPr>
        <w:t>，</w:t>
      </w:r>
      <w:r>
        <w:rPr>
          <w:rFonts w:hint="eastAsia"/>
          <w:color w:val="auto"/>
          <w:sz w:val="32"/>
          <w:szCs w:val="32"/>
        </w:rPr>
        <w:t>常年带病运行，工程使用年限明显缩短。</w:t>
      </w:r>
    </w:p>
    <w:p>
      <w:pPr>
        <w:numPr>
          <w:ilvl w:val="0"/>
          <w:numId w:val="0"/>
        </w:numPr>
        <w:bidi w:val="0"/>
        <w:ind w:left="0" w:leftChars="0" w:firstLine="640" w:firstLineChars="200"/>
        <w:rPr>
          <w:rFonts w:hint="eastAsia"/>
          <w:color w:val="auto"/>
          <w:sz w:val="32"/>
          <w:szCs w:val="32"/>
          <w:lang w:val="en-US" w:eastAsia="zh-CN"/>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四</w:t>
      </w:r>
      <w:r>
        <w:rPr>
          <w:rFonts w:hint="eastAsia" w:ascii="楷体" w:hAnsi="楷体" w:eastAsia="楷体" w:cs="楷体"/>
          <w:color w:val="auto"/>
          <w:sz w:val="32"/>
          <w:szCs w:val="32"/>
          <w:lang w:eastAsia="zh-CN"/>
        </w:rPr>
        <w:t>）建设内容仍需拓展。</w:t>
      </w:r>
      <w:r>
        <w:rPr>
          <w:color w:val="auto"/>
          <w:sz w:val="32"/>
          <w:szCs w:val="32"/>
        </w:rPr>
        <w:t>高标准农田建设实行</w:t>
      </w:r>
      <w:r>
        <w:rPr>
          <w:rFonts w:hint="eastAsia"/>
          <w:color w:val="auto"/>
          <w:sz w:val="32"/>
          <w:szCs w:val="32"/>
          <w:lang w:eastAsia="zh-CN"/>
        </w:rPr>
        <w:t>“</w:t>
      </w:r>
      <w:r>
        <w:rPr>
          <w:color w:val="auto"/>
          <w:sz w:val="32"/>
          <w:szCs w:val="32"/>
        </w:rPr>
        <w:t>田土水路林电技管</w:t>
      </w:r>
      <w:r>
        <w:rPr>
          <w:rFonts w:hint="eastAsia"/>
          <w:color w:val="auto"/>
          <w:sz w:val="32"/>
          <w:szCs w:val="32"/>
          <w:lang w:eastAsia="zh-CN"/>
        </w:rPr>
        <w:t>”</w:t>
      </w:r>
      <w:r>
        <w:rPr>
          <w:color w:val="auto"/>
          <w:sz w:val="32"/>
          <w:szCs w:val="32"/>
        </w:rPr>
        <w:t>综合治理，</w:t>
      </w:r>
      <w:r>
        <w:rPr>
          <w:rFonts w:hint="eastAsia"/>
          <w:color w:val="auto"/>
          <w:sz w:val="32"/>
          <w:szCs w:val="32"/>
        </w:rPr>
        <w:t>随着“两强一增”行动</w:t>
      </w:r>
      <w:r>
        <w:rPr>
          <w:color w:val="auto"/>
          <w:sz w:val="32"/>
          <w:szCs w:val="32"/>
        </w:rPr>
        <w:t>计划的全面实施，更需要基础设施硬件与技术服务、现代化管理等软件同步建设。目前，高标准农田建设在科技服务、新型数字化应用等软件建设方面与农业现代发展和</w:t>
      </w:r>
      <w:r>
        <w:rPr>
          <w:rFonts w:hint="eastAsia"/>
          <w:color w:val="auto"/>
          <w:sz w:val="32"/>
          <w:szCs w:val="32"/>
        </w:rPr>
        <w:t>“两强一增”行动计划的要求还</w:t>
      </w:r>
      <w:r>
        <w:rPr>
          <w:color w:val="auto"/>
          <w:sz w:val="32"/>
          <w:szCs w:val="32"/>
        </w:rPr>
        <w:t>有很大差距，高标准农田建设内涵和外延需进一步拓展提升。</w:t>
      </w:r>
    </w:p>
    <w:p>
      <w:pPr>
        <w:pStyle w:val="4"/>
        <w:numPr>
          <w:ilvl w:val="0"/>
          <w:numId w:val="2"/>
        </w:numPr>
        <w:bidi w:val="0"/>
        <w:ind w:left="0" w:leftChars="0" w:firstLine="640" w:firstLineChars="200"/>
        <w:rPr>
          <w:b w:val="0"/>
          <w:bCs w:val="0"/>
          <w:color w:val="auto"/>
          <w:sz w:val="32"/>
          <w:szCs w:val="32"/>
        </w:rPr>
      </w:pPr>
      <w:bookmarkStart w:id="42" w:name="_Toc7082_WPSOffice_Level2"/>
      <w:bookmarkStart w:id="43" w:name="_Toc21860_WPSOffice_Level2"/>
      <w:r>
        <w:rPr>
          <w:b w:val="0"/>
          <w:bCs w:val="0"/>
          <w:color w:val="auto"/>
          <w:sz w:val="32"/>
          <w:szCs w:val="32"/>
        </w:rPr>
        <w:t>有利条件</w:t>
      </w:r>
      <w:bookmarkEnd w:id="42"/>
      <w:bookmarkEnd w:id="43"/>
    </w:p>
    <w:p>
      <w:pPr>
        <w:numPr>
          <w:ilvl w:val="0"/>
          <w:numId w:val="0"/>
        </w:numPr>
        <w:bidi w:val="0"/>
        <w:ind w:left="0" w:leftChars="0" w:firstLine="640" w:firstLineChars="200"/>
        <w:rPr>
          <w:rFonts w:hint="eastAsia"/>
          <w:color w:val="auto"/>
          <w:sz w:val="32"/>
          <w:szCs w:val="32"/>
        </w:rPr>
      </w:pPr>
      <w:r>
        <w:rPr>
          <w:rFonts w:hint="eastAsia" w:ascii="楷体" w:hAnsi="楷体" w:eastAsia="楷体" w:cs="楷体"/>
          <w:color w:val="auto"/>
          <w:sz w:val="32"/>
          <w:szCs w:val="32"/>
          <w:lang w:eastAsia="zh-CN"/>
        </w:rPr>
        <w:t>（一）党和政府高度重视高标准农田建设。</w:t>
      </w:r>
      <w:r>
        <w:rPr>
          <w:rFonts w:hint="eastAsia"/>
          <w:color w:val="auto"/>
          <w:sz w:val="32"/>
          <w:szCs w:val="32"/>
        </w:rPr>
        <w:t>习近平总书记指出，保障粮食安全，关键是要保粮食生产能力，确保需要时能产得出、供得上，在保护好耕地特别是基本农田的基础上，大规模开展高标准农田建设。李克强总理多次作出专门批示，强调要实施好</w:t>
      </w:r>
      <w:r>
        <w:rPr>
          <w:rFonts w:hint="default"/>
          <w:color w:val="auto"/>
          <w:sz w:val="32"/>
          <w:szCs w:val="32"/>
        </w:rPr>
        <w:t>“</w:t>
      </w:r>
      <w:r>
        <w:rPr>
          <w:rFonts w:hint="eastAsia"/>
          <w:color w:val="auto"/>
          <w:sz w:val="32"/>
          <w:szCs w:val="32"/>
        </w:rPr>
        <w:t>藏粮于地、藏粮于技</w:t>
      </w:r>
      <w:r>
        <w:rPr>
          <w:rFonts w:hint="default"/>
          <w:color w:val="auto"/>
          <w:sz w:val="32"/>
          <w:szCs w:val="32"/>
        </w:rPr>
        <w:t>”</w:t>
      </w:r>
      <w:r>
        <w:rPr>
          <w:rFonts w:hint="eastAsia"/>
          <w:color w:val="auto"/>
          <w:sz w:val="32"/>
          <w:szCs w:val="32"/>
        </w:rPr>
        <w:t>战略，加强规划布局，把高标准农田建设摆在更加突出的位置，作为落实粮食安全省长责任制</w:t>
      </w:r>
      <w:r>
        <w:rPr>
          <w:rFonts w:hint="eastAsia"/>
          <w:color w:val="auto"/>
          <w:sz w:val="32"/>
          <w:szCs w:val="32"/>
          <w:lang w:eastAsia="zh-CN"/>
        </w:rPr>
        <w:t>（党政同责）</w:t>
      </w:r>
      <w:r>
        <w:rPr>
          <w:rFonts w:hint="eastAsia"/>
          <w:color w:val="auto"/>
          <w:sz w:val="32"/>
          <w:szCs w:val="32"/>
        </w:rPr>
        <w:t>的重要内容，扎实推进建设，健全农田管护机制。党的十九届五中全会、中央经济工作会议、中央农村工作会议及连续多年的中央一号文件对高标准农田建设提出明确要求，《国务院办公厅关于切实加强高标准农田建设提升国家粮食安全保障能力的意见》作出系统部署，为大力推进高标准农田建设提供了政策保障。</w:t>
      </w:r>
      <w:r>
        <w:rPr>
          <w:rFonts w:hint="eastAsia"/>
          <w:color w:val="auto"/>
          <w:sz w:val="32"/>
          <w:szCs w:val="32"/>
          <w:lang w:val="en-US" w:eastAsia="zh-CN"/>
        </w:rPr>
        <w:t>池州</w:t>
      </w:r>
      <w:r>
        <w:rPr>
          <w:rFonts w:hint="eastAsia"/>
          <w:color w:val="auto"/>
          <w:sz w:val="32"/>
          <w:szCs w:val="32"/>
        </w:rPr>
        <w:t>市委、市政府认真贯彻落实中央决策部署，将高标准农田建设放在全市</w:t>
      </w:r>
      <w:r>
        <w:rPr>
          <w:rFonts w:hint="default"/>
          <w:color w:val="auto"/>
          <w:sz w:val="32"/>
          <w:szCs w:val="32"/>
        </w:rPr>
        <w:t>“</w:t>
      </w:r>
      <w:r>
        <w:rPr>
          <w:rFonts w:hint="eastAsia"/>
          <w:color w:val="auto"/>
          <w:sz w:val="32"/>
          <w:szCs w:val="32"/>
        </w:rPr>
        <w:t>三农</w:t>
      </w:r>
      <w:r>
        <w:rPr>
          <w:rFonts w:hint="default"/>
          <w:color w:val="auto"/>
          <w:sz w:val="32"/>
          <w:szCs w:val="32"/>
        </w:rPr>
        <w:t>”</w:t>
      </w:r>
      <w:r>
        <w:rPr>
          <w:rFonts w:hint="eastAsia"/>
          <w:color w:val="auto"/>
          <w:sz w:val="32"/>
          <w:szCs w:val="32"/>
        </w:rPr>
        <w:t>工作全局中谋划推动，全方位推进、大规模开展、高质量要求，深入落实</w:t>
      </w:r>
      <w:r>
        <w:rPr>
          <w:rFonts w:hint="default"/>
          <w:color w:val="auto"/>
          <w:sz w:val="32"/>
          <w:szCs w:val="32"/>
        </w:rPr>
        <w:t>“</w:t>
      </w:r>
      <w:r>
        <w:rPr>
          <w:rFonts w:hint="eastAsia"/>
          <w:color w:val="auto"/>
          <w:sz w:val="32"/>
          <w:szCs w:val="32"/>
        </w:rPr>
        <w:t>藏粮于地、藏粮于技</w:t>
      </w:r>
      <w:r>
        <w:rPr>
          <w:rFonts w:hint="default"/>
          <w:color w:val="auto"/>
          <w:sz w:val="32"/>
          <w:szCs w:val="32"/>
        </w:rPr>
        <w:t>”</w:t>
      </w:r>
      <w:r>
        <w:rPr>
          <w:rFonts w:hint="eastAsia"/>
          <w:color w:val="auto"/>
          <w:sz w:val="32"/>
          <w:szCs w:val="32"/>
        </w:rPr>
        <w:t>战略。</w:t>
      </w:r>
    </w:p>
    <w:p>
      <w:pPr>
        <w:bidi w:val="0"/>
        <w:rPr>
          <w:rFonts w:hint="eastAsia"/>
          <w:color w:val="auto"/>
          <w:sz w:val="32"/>
          <w:szCs w:val="32"/>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二</w:t>
      </w:r>
      <w:r>
        <w:rPr>
          <w:rFonts w:hint="eastAsia" w:ascii="楷体" w:hAnsi="楷体" w:eastAsia="楷体" w:cs="楷体"/>
          <w:color w:val="auto"/>
          <w:sz w:val="32"/>
          <w:szCs w:val="32"/>
          <w:lang w:eastAsia="zh-CN"/>
        </w:rPr>
        <w:t>）处于重要的战略机遇期。</w:t>
      </w:r>
      <w:r>
        <w:rPr>
          <w:rFonts w:hint="eastAsia"/>
          <w:color w:val="auto"/>
          <w:sz w:val="32"/>
          <w:szCs w:val="32"/>
        </w:rPr>
        <w:t>党的十九大提出了实施乡村振兴战略的重大历史任务。实施乡村振兴战略，首要任务是确保重要农产品特别是粮食供给，必须坚持以我为主、立足国内、确保产能、适度进口、科技支撑的国家粮食安全战略，持续巩固和提升粮食生产能力，建立全方位的粮食安全保障机制。我市把农田建设作为农业农村发展的重要组成部分和推进农业农村现代化的重要基础，按照</w:t>
      </w:r>
      <w:r>
        <w:rPr>
          <w:rFonts w:hint="eastAsia"/>
          <w:color w:val="auto"/>
          <w:sz w:val="32"/>
          <w:szCs w:val="32"/>
          <w:u w:val="none"/>
        </w:rPr>
        <w:t>整村整乡推进</w:t>
      </w:r>
      <w:r>
        <w:rPr>
          <w:rFonts w:hint="eastAsia"/>
          <w:color w:val="auto"/>
          <w:sz w:val="32"/>
          <w:szCs w:val="32"/>
        </w:rPr>
        <w:t>、高质量发展的要求，真正将完善农田基础设施作为一项重要任务来抓，切实加强高标准农田建设，为乡村振兴发展进一步夯实基础设施条件。</w:t>
      </w:r>
    </w:p>
    <w:p>
      <w:pPr>
        <w:bidi w:val="0"/>
        <w:rPr>
          <w:rFonts w:hint="eastAsia"/>
          <w:color w:val="auto"/>
          <w:sz w:val="32"/>
          <w:szCs w:val="32"/>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三</w:t>
      </w:r>
      <w:r>
        <w:rPr>
          <w:rFonts w:hint="eastAsia" w:ascii="楷体" w:hAnsi="楷体" w:eastAsia="楷体" w:cs="楷体"/>
          <w:color w:val="auto"/>
          <w:sz w:val="32"/>
          <w:szCs w:val="32"/>
          <w:lang w:eastAsia="zh-CN"/>
        </w:rPr>
        <w:t>）具备良好的工作基础。</w:t>
      </w:r>
      <w:r>
        <w:rPr>
          <w:rFonts w:hint="eastAsia"/>
          <w:color w:val="auto"/>
          <w:sz w:val="32"/>
          <w:szCs w:val="32"/>
        </w:rPr>
        <w:t>实行粮食安全责任制考核，明确党政同责保障粮食安全，为建设高标准农田提供了政治责任保障。</w:t>
      </w:r>
      <w:r>
        <w:rPr>
          <w:rFonts w:hint="eastAsia"/>
          <w:color w:val="auto"/>
          <w:sz w:val="32"/>
          <w:szCs w:val="32"/>
          <w:lang w:eastAsia="zh-CN"/>
        </w:rPr>
        <w:t>全</w:t>
      </w:r>
      <w:r>
        <w:rPr>
          <w:rFonts w:hint="eastAsia"/>
          <w:color w:val="auto"/>
          <w:sz w:val="32"/>
          <w:szCs w:val="32"/>
        </w:rPr>
        <w:t>市各地高度重视，加快推进高标准农田建设，建立了稳定的财政投入机制，树立了示范样板工程，提升了工程技术水平，培养了专业人才队伍，积累了丰富管理经验，建成了一大批集中连片、旱涝保收、稳产高产的高标准农田，为高质量实施高标准农田建设提供了丰富的实践经验。</w:t>
      </w:r>
    </w:p>
    <w:p>
      <w:pPr>
        <w:pStyle w:val="2"/>
        <w:ind w:firstLine="640" w:firstLineChars="200"/>
        <w:rPr>
          <w:rFonts w:hint="eastAsia"/>
          <w:b w:val="0"/>
          <w:bCs w:val="0"/>
          <w:color w:val="auto"/>
          <w:lang w:val="en-US" w:eastAsia="zh-CN"/>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四</w:t>
      </w:r>
      <w:r>
        <w:rPr>
          <w:rFonts w:hint="eastAsia" w:ascii="楷体" w:hAnsi="楷体" w:eastAsia="楷体" w:cs="楷体"/>
          <w:color w:val="auto"/>
          <w:sz w:val="32"/>
          <w:szCs w:val="32"/>
          <w:lang w:eastAsia="zh-CN"/>
        </w:rPr>
        <w:t>）形成良好的群众基础。</w:t>
      </w:r>
      <w:r>
        <w:rPr>
          <w:rFonts w:hint="eastAsia"/>
          <w:color w:val="auto"/>
          <w:sz w:val="32"/>
          <w:szCs w:val="32"/>
        </w:rPr>
        <w:t>高标准农田建设能够提高粮食生产能力，拓宽农民收入渠道，增加农民收入，促进农业绿色发展，美化农田生态环境，提升农业综合效益。高标准农田建设是事关国家粮食安全、社会经济稳定的战略性工程，是事关农民增收、乡村产业兴旺的公益性工程，是事关农村田园优美、农村生态文明的战略性工程，社会各界高度认同，</w:t>
      </w:r>
      <w:r>
        <w:rPr>
          <w:rFonts w:hint="eastAsia"/>
          <w:color w:val="auto"/>
          <w:sz w:val="32"/>
          <w:szCs w:val="32"/>
          <w:lang w:eastAsia="zh-CN"/>
        </w:rPr>
        <w:t>受到</w:t>
      </w:r>
      <w:r>
        <w:rPr>
          <w:rFonts w:hint="eastAsia"/>
          <w:color w:val="auto"/>
          <w:sz w:val="32"/>
          <w:szCs w:val="32"/>
        </w:rPr>
        <w:t>农民</w:t>
      </w:r>
      <w:r>
        <w:rPr>
          <w:rFonts w:hint="eastAsia"/>
          <w:color w:val="auto"/>
          <w:sz w:val="32"/>
          <w:szCs w:val="32"/>
          <w:lang w:eastAsia="zh-CN"/>
        </w:rPr>
        <w:t>普遍欢迎，群众支持和拥护率都较高。</w:t>
      </w:r>
      <w:bookmarkStart w:id="44" w:name="_Toc30590_WPSOffice_Level1"/>
    </w:p>
    <w:p>
      <w:pPr>
        <w:rPr>
          <w:rFonts w:hint="eastAsia"/>
          <w:b w:val="0"/>
          <w:bCs w:val="0"/>
          <w:color w:val="auto"/>
          <w:lang w:val="en-US" w:eastAsia="zh-CN"/>
        </w:rPr>
      </w:pPr>
      <w:r>
        <w:rPr>
          <w:rFonts w:hint="eastAsia"/>
          <w:b w:val="0"/>
          <w:bCs w:val="0"/>
          <w:color w:val="auto"/>
          <w:lang w:val="en-US" w:eastAsia="zh-CN"/>
        </w:rPr>
        <w:br w:type="page"/>
      </w:r>
    </w:p>
    <w:p>
      <w:pPr>
        <w:pStyle w:val="3"/>
        <w:bidi w:val="0"/>
        <w:jc w:val="center"/>
        <w:rPr>
          <w:rFonts w:hint="eastAsia"/>
          <w:b w:val="0"/>
          <w:bCs w:val="0"/>
          <w:color w:val="auto"/>
          <w:lang w:val="en-US" w:eastAsia="zh-CN"/>
        </w:rPr>
      </w:pPr>
      <w:bookmarkStart w:id="45" w:name="_Toc5088_WPSOffice_Level1"/>
      <w:r>
        <w:rPr>
          <w:rFonts w:hint="eastAsia"/>
          <w:b w:val="0"/>
          <w:bCs w:val="0"/>
          <w:color w:val="auto"/>
          <w:lang w:val="en-US" w:eastAsia="zh-CN"/>
        </w:rPr>
        <w:t>第二章 总体要求</w:t>
      </w:r>
      <w:bookmarkEnd w:id="45"/>
    </w:p>
    <w:bookmarkEnd w:id="44"/>
    <w:p>
      <w:pPr>
        <w:pStyle w:val="4"/>
        <w:numPr>
          <w:ilvl w:val="0"/>
          <w:numId w:val="4"/>
        </w:numPr>
        <w:bidi w:val="0"/>
        <w:rPr>
          <w:rFonts w:hint="eastAsia"/>
          <w:b w:val="0"/>
          <w:bCs w:val="0"/>
          <w:color w:val="auto"/>
          <w:sz w:val="32"/>
          <w:szCs w:val="32"/>
          <w:lang w:val="en-US" w:eastAsia="zh-CN"/>
        </w:rPr>
      </w:pPr>
      <w:bookmarkStart w:id="46" w:name="_Toc8043_WPSOffice_Level2"/>
      <w:bookmarkStart w:id="47" w:name="_Toc24628_WPSOffice_Level2"/>
      <w:r>
        <w:rPr>
          <w:rFonts w:hint="eastAsia"/>
          <w:b w:val="0"/>
          <w:bCs w:val="0"/>
          <w:color w:val="auto"/>
          <w:sz w:val="32"/>
          <w:szCs w:val="32"/>
          <w:lang w:val="en-US" w:eastAsia="zh-CN"/>
        </w:rPr>
        <w:t>指导思想</w:t>
      </w:r>
      <w:bookmarkEnd w:id="46"/>
      <w:bookmarkEnd w:id="47"/>
    </w:p>
    <w:p>
      <w:pPr>
        <w:bidi w:val="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以习近平新时代中国特色社会主义思想为指导，立足新发展阶段，完整、准确、全面贯彻新发展理念，服务构建新发展格局，全面落实中央及省委和省委经济工作会议、中央和省委农村工作会议部署，紧紧围绕全面推进乡村振兴、加快农业农村现代化、“两强一增”行动计划，按照高质量发展要求，以提升粮食产能为首要目标，以永久基本农田、粮食生产功能区、重要农产品生产保护区为重点区域，深入实施“藏粮于地、藏粮于技”战略。在具备条件的地方，开展小变大、短变长、坡改梯、弯变直的</w:t>
      </w:r>
      <w:r>
        <w:rPr>
          <w:rFonts w:hint="eastAsia" w:ascii="仿宋" w:hAnsi="仿宋" w:eastAsia="仿宋" w:cs="仿宋"/>
          <w:color w:val="auto"/>
          <w:sz w:val="32"/>
          <w:szCs w:val="32"/>
          <w:lang w:eastAsia="zh-CN"/>
        </w:rPr>
        <w:t>“小田变大田”</w:t>
      </w:r>
      <w:r>
        <w:rPr>
          <w:rFonts w:hint="eastAsia" w:ascii="仿宋" w:hAnsi="仿宋" w:eastAsia="仿宋" w:cs="仿宋"/>
          <w:color w:val="auto"/>
          <w:sz w:val="32"/>
          <w:szCs w:val="32"/>
        </w:rPr>
        <w:t>改造，推动农田“优质、集中、连片”，实现农田增量、农业增效、农民增收。坚持新增建设和改造提升并重、建设数量和建成质量并重、工程建设和建后管护并重，产能提升和绿色发展相协调，统一组织实施和分区分类施策相结合，全面实行</w:t>
      </w:r>
      <w:r>
        <w:rPr>
          <w:rFonts w:hint="eastAsia" w:ascii="仿宋" w:hAnsi="仿宋" w:cs="仿宋"/>
          <w:color w:val="auto"/>
          <w:sz w:val="32"/>
          <w:szCs w:val="32"/>
          <w:lang w:eastAsia="zh-CN"/>
        </w:rPr>
        <w:t>“</w:t>
      </w:r>
      <w:r>
        <w:rPr>
          <w:rFonts w:hint="eastAsia" w:ascii="仿宋" w:hAnsi="仿宋" w:eastAsia="仿宋" w:cs="仿宋"/>
          <w:color w:val="auto"/>
          <w:sz w:val="32"/>
          <w:szCs w:val="32"/>
        </w:rPr>
        <w:t>田土水路林电技管</w:t>
      </w:r>
      <w:r>
        <w:rPr>
          <w:rFonts w:hint="eastAsia" w:ascii="仿宋" w:hAnsi="仿宋" w:cs="仿宋"/>
          <w:color w:val="auto"/>
          <w:sz w:val="32"/>
          <w:szCs w:val="32"/>
          <w:lang w:eastAsia="zh-CN"/>
        </w:rPr>
        <w:t>”</w:t>
      </w:r>
      <w:r>
        <w:rPr>
          <w:rFonts w:hint="eastAsia" w:ascii="仿宋" w:hAnsi="仿宋" w:eastAsia="仿宋" w:cs="仿宋"/>
          <w:color w:val="auto"/>
          <w:sz w:val="32"/>
          <w:szCs w:val="32"/>
        </w:rPr>
        <w:t>综合治理，突出新品种新技术新模式新装备推广应用和农田宜机化改造，切实补上农业基础设施短板，提升农业科技贡献率和机械化作业率。注重提质增效，健全工作推进、规范管理、监督评价、建后管护机制，实现高质量建设、高效率管理、高水平利用，确保建一块成一块发挥效益一块，把建成高标准农田划为永久基本农田，实行特殊保护，遏制“非农化”、防止“非粮化”，为保障粮食安全和重要农产品有效供给提供坚实基础。</w:t>
      </w:r>
    </w:p>
    <w:p>
      <w:pPr>
        <w:pStyle w:val="4"/>
        <w:numPr>
          <w:ilvl w:val="0"/>
          <w:numId w:val="4"/>
        </w:numPr>
        <w:bidi w:val="0"/>
        <w:rPr>
          <w:rFonts w:hint="eastAsia" w:ascii="黑体" w:hAnsi="黑体" w:eastAsia="黑体" w:cs="黑体"/>
          <w:b w:val="0"/>
          <w:bCs w:val="0"/>
          <w:color w:val="auto"/>
          <w:sz w:val="32"/>
          <w:szCs w:val="32"/>
          <w:lang w:val="en-US"/>
        </w:rPr>
      </w:pPr>
      <w:bookmarkStart w:id="48" w:name="_Toc10411_WPSOffice_Level2"/>
      <w:bookmarkStart w:id="49" w:name="_Toc18426_WPSOffice_Level2"/>
      <w:r>
        <w:rPr>
          <w:rFonts w:hint="eastAsia" w:ascii="黑体" w:hAnsi="黑体" w:eastAsia="黑体" w:cs="黑体"/>
          <w:b w:val="0"/>
          <w:bCs w:val="0"/>
          <w:color w:val="auto"/>
          <w:sz w:val="32"/>
          <w:szCs w:val="32"/>
          <w:lang w:val="en-US" w:eastAsia="zh-CN"/>
        </w:rPr>
        <w:t>基本原则</w:t>
      </w:r>
      <w:bookmarkEnd w:id="48"/>
      <w:bookmarkEnd w:id="49"/>
    </w:p>
    <w:p>
      <w:pPr>
        <w:numPr>
          <w:ilvl w:val="0"/>
          <w:numId w:val="0"/>
        </w:numPr>
        <w:bidi w:val="0"/>
        <w:ind w:left="0" w:leftChars="0" w:firstLine="640" w:firstLineChars="200"/>
        <w:rPr>
          <w:rFonts w:hint="eastAsia" w:ascii="仿宋" w:hAnsi="仿宋" w:eastAsia="仿宋" w:cs="仿宋"/>
          <w:color w:val="auto"/>
          <w:sz w:val="32"/>
          <w:szCs w:val="32"/>
        </w:rPr>
      </w:pPr>
      <w:r>
        <w:rPr>
          <w:rFonts w:hint="eastAsia" w:ascii="楷体" w:hAnsi="楷体" w:eastAsia="楷体" w:cs="楷体"/>
          <w:color w:val="auto"/>
          <w:sz w:val="32"/>
          <w:szCs w:val="32"/>
          <w:lang w:eastAsia="zh-CN"/>
        </w:rPr>
        <w:t>（一）政府主导，多元参与。</w:t>
      </w:r>
      <w:r>
        <w:rPr>
          <w:rFonts w:hint="eastAsia" w:ascii="仿宋" w:hAnsi="仿宋" w:eastAsia="仿宋" w:cs="仿宋"/>
          <w:color w:val="auto"/>
          <w:sz w:val="32"/>
          <w:szCs w:val="32"/>
        </w:rPr>
        <w:t>持续健全投入逐步增长机制，积极争取国家</w:t>
      </w:r>
      <w:r>
        <w:rPr>
          <w:rFonts w:hint="eastAsia" w:ascii="仿宋" w:hAnsi="仿宋" w:cs="仿宋"/>
          <w:color w:val="auto"/>
          <w:sz w:val="32"/>
          <w:szCs w:val="32"/>
          <w:lang w:eastAsia="zh-CN"/>
        </w:rPr>
        <w:t>、省</w:t>
      </w:r>
      <w:r>
        <w:rPr>
          <w:rFonts w:hint="eastAsia" w:ascii="仿宋" w:hAnsi="仿宋" w:eastAsia="仿宋" w:cs="仿宋"/>
          <w:color w:val="auto"/>
          <w:sz w:val="32"/>
          <w:szCs w:val="32"/>
        </w:rPr>
        <w:t>政策资金支持，强化</w:t>
      </w:r>
      <w:r>
        <w:rPr>
          <w:rFonts w:hint="eastAsia" w:ascii="仿宋" w:hAnsi="仿宋" w:eastAsia="仿宋" w:cs="仿宋"/>
          <w:color w:val="auto"/>
          <w:sz w:val="32"/>
          <w:szCs w:val="32"/>
          <w:lang w:val="en-US" w:eastAsia="zh-CN"/>
        </w:rPr>
        <w:t>市县政府投入责任</w:t>
      </w:r>
      <w:r>
        <w:rPr>
          <w:rFonts w:hint="eastAsia" w:ascii="仿宋" w:hAnsi="仿宋" w:eastAsia="仿宋" w:cs="仿宋"/>
          <w:color w:val="auto"/>
          <w:sz w:val="32"/>
          <w:szCs w:val="32"/>
        </w:rPr>
        <w:t>，积极拓展资金投入渠道，抢抓政策窗口期，充分调动社会各方积极性，优化新型农业经营主体投入机制，积极引导社会资本和金融资金投入，推动多元筹资，逐步提高投资标准。</w:t>
      </w:r>
    </w:p>
    <w:p>
      <w:pPr>
        <w:numPr>
          <w:ilvl w:val="0"/>
          <w:numId w:val="0"/>
        </w:numPr>
        <w:bidi w:val="0"/>
        <w:ind w:left="0" w:leftChars="0" w:firstLine="640" w:firstLineChars="200"/>
        <w:rPr>
          <w:rFonts w:hint="eastAsia" w:ascii="仿宋" w:hAnsi="仿宋" w:eastAsia="仿宋" w:cs="仿宋"/>
          <w:color w:val="auto"/>
          <w:sz w:val="32"/>
          <w:szCs w:val="32"/>
        </w:rPr>
      </w:pPr>
      <w:r>
        <w:rPr>
          <w:rFonts w:hint="eastAsia" w:ascii="楷体" w:hAnsi="楷体" w:eastAsia="楷体" w:cs="楷体"/>
          <w:color w:val="auto"/>
          <w:sz w:val="32"/>
          <w:szCs w:val="32"/>
          <w:lang w:eastAsia="zh-CN"/>
        </w:rPr>
        <w:t>（二）规划引领，突出重点。</w:t>
      </w:r>
      <w:r>
        <w:rPr>
          <w:rFonts w:hint="eastAsia" w:ascii="仿宋" w:hAnsi="仿宋" w:eastAsia="仿宋" w:cs="仿宋"/>
          <w:color w:val="auto"/>
          <w:sz w:val="32"/>
          <w:szCs w:val="32"/>
        </w:rPr>
        <w:t>衔接乡村振兴、国土空间、水利发展等相关规划，科学确定高标准农田建设布局。以永久基本农田为基础，优先在粮食生产功能区、重要农产品生产保护区建设高标准农田，打造</w:t>
      </w:r>
      <w:r>
        <w:rPr>
          <w:rFonts w:hint="eastAsia" w:ascii="仿宋" w:hAnsi="仿宋" w:eastAsia="仿宋" w:cs="仿宋"/>
          <w:color w:val="auto"/>
          <w:sz w:val="32"/>
          <w:szCs w:val="32"/>
          <w:lang w:val="en-US" w:eastAsia="zh-CN"/>
        </w:rPr>
        <w:t>池州粮食</w:t>
      </w:r>
      <w:r>
        <w:rPr>
          <w:rFonts w:hint="eastAsia" w:ascii="仿宋" w:hAnsi="仿宋" w:eastAsia="仿宋" w:cs="仿宋"/>
          <w:color w:val="auto"/>
          <w:sz w:val="32"/>
          <w:szCs w:val="32"/>
        </w:rPr>
        <w:t>和重要农产品保障阵地。优先将大中型灌区有效灌溉面积打造成高标准农田。</w:t>
      </w:r>
    </w:p>
    <w:p>
      <w:pPr>
        <w:numPr>
          <w:ilvl w:val="0"/>
          <w:numId w:val="0"/>
        </w:numPr>
        <w:bidi w:val="0"/>
        <w:ind w:left="0" w:leftChars="0" w:firstLine="640" w:firstLineChars="200"/>
        <w:rPr>
          <w:rFonts w:hint="eastAsia" w:ascii="仿宋" w:hAnsi="仿宋" w:eastAsia="仿宋" w:cs="仿宋"/>
          <w:color w:val="auto"/>
          <w:sz w:val="32"/>
          <w:szCs w:val="32"/>
        </w:rPr>
      </w:pPr>
      <w:r>
        <w:rPr>
          <w:rFonts w:hint="eastAsia" w:ascii="楷体" w:hAnsi="楷体" w:eastAsia="楷体" w:cs="楷体"/>
          <w:color w:val="auto"/>
          <w:sz w:val="32"/>
          <w:szCs w:val="32"/>
          <w:lang w:eastAsia="zh-CN"/>
        </w:rPr>
        <w:t>（三）集中连片，整体推进。</w:t>
      </w:r>
      <w:r>
        <w:rPr>
          <w:rFonts w:hint="eastAsia" w:ascii="仿宋" w:hAnsi="仿宋" w:eastAsia="仿宋" w:cs="仿宋"/>
          <w:color w:val="auto"/>
          <w:sz w:val="32"/>
          <w:szCs w:val="32"/>
        </w:rPr>
        <w:t>根据全</w:t>
      </w:r>
      <w:r>
        <w:rPr>
          <w:rFonts w:hint="eastAsia" w:ascii="仿宋" w:hAnsi="仿宋" w:eastAsia="仿宋" w:cs="仿宋"/>
          <w:color w:val="auto"/>
          <w:sz w:val="32"/>
          <w:szCs w:val="32"/>
          <w:lang w:val="en-US" w:eastAsia="zh-CN"/>
        </w:rPr>
        <w:t>市</w:t>
      </w:r>
      <w:r>
        <w:rPr>
          <w:rFonts w:hint="eastAsia" w:ascii="仿宋" w:hAnsi="仿宋" w:eastAsia="仿宋" w:cs="仿宋"/>
          <w:color w:val="auto"/>
          <w:sz w:val="32"/>
          <w:szCs w:val="32"/>
        </w:rPr>
        <w:t>农田分布和自然条件，综合考虑耕作要求、区划范围和农产品基地建设需要等，科学确定</w:t>
      </w:r>
      <w:r>
        <w:rPr>
          <w:rFonts w:hint="eastAsia" w:ascii="仿宋" w:hAnsi="仿宋" w:cs="仿宋"/>
          <w:color w:val="auto"/>
          <w:sz w:val="32"/>
          <w:szCs w:val="32"/>
          <w:lang w:eastAsia="zh-CN"/>
        </w:rPr>
        <w:t>圩区</w:t>
      </w:r>
      <w:r>
        <w:rPr>
          <w:rFonts w:hint="eastAsia" w:ascii="仿宋" w:hAnsi="仿宋" w:eastAsia="仿宋" w:cs="仿宋"/>
          <w:color w:val="auto"/>
          <w:sz w:val="32"/>
          <w:szCs w:val="32"/>
        </w:rPr>
        <w:t>、</w:t>
      </w:r>
      <w:r>
        <w:rPr>
          <w:rFonts w:hint="eastAsia" w:ascii="仿宋" w:hAnsi="仿宋" w:cs="仿宋"/>
          <w:color w:val="auto"/>
          <w:sz w:val="32"/>
          <w:szCs w:val="32"/>
          <w:lang w:eastAsia="zh-CN"/>
        </w:rPr>
        <w:t>丘陵</w:t>
      </w:r>
      <w:r>
        <w:rPr>
          <w:rFonts w:hint="eastAsia" w:ascii="仿宋" w:hAnsi="仿宋" w:eastAsia="仿宋" w:cs="仿宋"/>
          <w:color w:val="auto"/>
          <w:sz w:val="32"/>
          <w:szCs w:val="32"/>
        </w:rPr>
        <w:t>山区不同区域连片规模，实行统一规划设计，集中连片建设，整体协调推进，提高建设水平。</w:t>
      </w:r>
    </w:p>
    <w:p>
      <w:pPr>
        <w:numPr>
          <w:ilvl w:val="0"/>
          <w:numId w:val="0"/>
        </w:numPr>
        <w:bidi w:val="0"/>
        <w:ind w:left="0" w:leftChars="0" w:firstLine="640" w:firstLineChars="200"/>
        <w:rPr>
          <w:rFonts w:hint="eastAsia" w:ascii="仿宋" w:hAnsi="仿宋" w:eastAsia="仿宋" w:cs="仿宋"/>
          <w:color w:val="auto"/>
          <w:sz w:val="32"/>
          <w:szCs w:val="32"/>
        </w:rPr>
      </w:pPr>
      <w:r>
        <w:rPr>
          <w:rFonts w:hint="eastAsia" w:ascii="楷体" w:hAnsi="楷体" w:eastAsia="楷体" w:cs="楷体"/>
          <w:color w:val="auto"/>
          <w:sz w:val="32"/>
          <w:szCs w:val="32"/>
          <w:lang w:eastAsia="zh-CN"/>
        </w:rPr>
        <w:t>（四）因地制宜，综合治理。</w:t>
      </w:r>
      <w:r>
        <w:rPr>
          <w:rFonts w:hint="eastAsia" w:ascii="仿宋" w:hAnsi="仿宋" w:eastAsia="仿宋" w:cs="仿宋"/>
          <w:color w:val="auto"/>
          <w:sz w:val="32"/>
          <w:szCs w:val="32"/>
        </w:rPr>
        <w:t>根据全</w:t>
      </w:r>
      <w:r>
        <w:rPr>
          <w:rFonts w:hint="eastAsia" w:ascii="仿宋" w:hAnsi="仿宋" w:eastAsia="仿宋" w:cs="仿宋"/>
          <w:color w:val="auto"/>
          <w:sz w:val="32"/>
          <w:szCs w:val="32"/>
          <w:lang w:val="en-US" w:eastAsia="zh-CN"/>
        </w:rPr>
        <w:t>市</w:t>
      </w:r>
      <w:r>
        <w:rPr>
          <w:rFonts w:hint="eastAsia" w:ascii="仿宋" w:hAnsi="仿宋" w:eastAsia="仿宋" w:cs="仿宋"/>
          <w:color w:val="auto"/>
          <w:sz w:val="32"/>
          <w:szCs w:val="32"/>
        </w:rPr>
        <w:t>区域自然资源禀赋、农业生产特征、农田基础条件和障碍因素，因地制宜确定建设重点与内容，统筹推进</w:t>
      </w:r>
      <w:r>
        <w:rPr>
          <w:rFonts w:hint="eastAsia" w:ascii="仿宋" w:hAnsi="仿宋" w:cs="仿宋"/>
          <w:color w:val="auto"/>
          <w:sz w:val="32"/>
          <w:szCs w:val="32"/>
          <w:lang w:eastAsia="zh-CN"/>
        </w:rPr>
        <w:t>“</w:t>
      </w:r>
      <w:r>
        <w:rPr>
          <w:rFonts w:hint="eastAsia" w:ascii="仿宋" w:hAnsi="仿宋" w:eastAsia="仿宋" w:cs="仿宋"/>
          <w:color w:val="auto"/>
          <w:sz w:val="32"/>
          <w:szCs w:val="32"/>
        </w:rPr>
        <w:t>田土水路林电技管</w:t>
      </w:r>
      <w:r>
        <w:rPr>
          <w:rFonts w:hint="eastAsia" w:ascii="仿宋" w:hAnsi="仿宋" w:cs="仿宋"/>
          <w:color w:val="auto"/>
          <w:sz w:val="32"/>
          <w:szCs w:val="32"/>
          <w:lang w:eastAsia="zh-CN"/>
        </w:rPr>
        <w:t>”</w:t>
      </w:r>
      <w:r>
        <w:rPr>
          <w:rFonts w:hint="eastAsia" w:ascii="仿宋" w:hAnsi="仿宋" w:eastAsia="仿宋" w:cs="仿宋"/>
          <w:color w:val="auto"/>
          <w:sz w:val="32"/>
          <w:szCs w:val="32"/>
        </w:rPr>
        <w:t>综合治理，使农田基础设施条件与现代农业发展相适应。</w:t>
      </w:r>
    </w:p>
    <w:p>
      <w:pPr>
        <w:numPr>
          <w:ilvl w:val="0"/>
          <w:numId w:val="0"/>
        </w:numPr>
        <w:bidi w:val="0"/>
        <w:ind w:left="0" w:leftChars="0" w:firstLine="640" w:firstLineChars="200"/>
        <w:rPr>
          <w:rFonts w:hint="eastAsia" w:ascii="仿宋" w:hAnsi="仿宋" w:eastAsia="仿宋" w:cs="仿宋"/>
          <w:color w:val="auto"/>
          <w:sz w:val="32"/>
          <w:szCs w:val="32"/>
        </w:rPr>
      </w:pPr>
      <w:r>
        <w:rPr>
          <w:rFonts w:hint="eastAsia" w:ascii="楷体" w:hAnsi="楷体" w:eastAsia="楷体" w:cs="楷体"/>
          <w:color w:val="auto"/>
          <w:sz w:val="32"/>
          <w:szCs w:val="32"/>
          <w:lang w:eastAsia="zh-CN"/>
        </w:rPr>
        <w:t>（五）绿色发展，生态优先。</w:t>
      </w:r>
      <w:r>
        <w:rPr>
          <w:rFonts w:hint="eastAsia" w:ascii="仿宋" w:hAnsi="仿宋" w:eastAsia="仿宋" w:cs="仿宋"/>
          <w:color w:val="auto"/>
          <w:sz w:val="32"/>
          <w:szCs w:val="32"/>
        </w:rPr>
        <w:t>以绿色发展引领高标准农田建设，加快构建布局合理、生态良好、灌排通畅、宜机作业的连片高标准农田。推进高效节水灌溉工程建设，推广水肥一体化技术。突出农田生态环境保护，少硬化、少砍树、慎填塘，建设生态环保型工程。</w:t>
      </w:r>
    </w:p>
    <w:p>
      <w:pPr>
        <w:numPr>
          <w:ilvl w:val="0"/>
          <w:numId w:val="0"/>
        </w:numPr>
        <w:bidi w:val="0"/>
        <w:ind w:left="0" w:leftChars="0" w:firstLine="640" w:firstLineChars="200"/>
        <w:rPr>
          <w:rFonts w:hint="eastAsia" w:ascii="仿宋" w:hAnsi="仿宋" w:eastAsia="仿宋" w:cs="仿宋"/>
          <w:color w:val="auto"/>
          <w:sz w:val="32"/>
          <w:szCs w:val="32"/>
        </w:rPr>
      </w:pPr>
      <w:r>
        <w:rPr>
          <w:rFonts w:hint="eastAsia" w:ascii="楷体" w:hAnsi="楷体" w:eastAsia="楷体" w:cs="楷体"/>
          <w:color w:val="auto"/>
          <w:sz w:val="32"/>
          <w:szCs w:val="32"/>
          <w:lang w:eastAsia="zh-CN"/>
        </w:rPr>
        <w:t>（六）建改并举、注重质量。</w:t>
      </w:r>
      <w:r>
        <w:rPr>
          <w:rFonts w:hint="eastAsia" w:ascii="仿宋" w:hAnsi="仿宋" w:eastAsia="仿宋" w:cs="仿宋"/>
          <w:color w:val="auto"/>
          <w:sz w:val="32"/>
          <w:szCs w:val="32"/>
        </w:rPr>
        <w:t>落实高质量发展要求，在保质保量完成新增高标准农田建设任务的基础上，合理安排已建高标准农田改造提升，切实解决部分已建高标准农田设施不配套、工程老化、建设标准低等问题，有效提升高标准农田建设质量。</w:t>
      </w:r>
    </w:p>
    <w:p>
      <w:pPr>
        <w:numPr>
          <w:ilvl w:val="0"/>
          <w:numId w:val="0"/>
        </w:numPr>
        <w:bidi w:val="0"/>
        <w:ind w:left="0" w:leftChars="0" w:firstLine="640" w:firstLineChars="200"/>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eastAsia="zh-CN"/>
        </w:rPr>
        <w:t>（七）建管并重，良性运行。</w:t>
      </w:r>
      <w:r>
        <w:rPr>
          <w:rFonts w:hint="eastAsia" w:ascii="仿宋" w:hAnsi="仿宋" w:eastAsia="仿宋" w:cs="仿宋"/>
          <w:color w:val="auto"/>
          <w:sz w:val="32"/>
          <w:szCs w:val="32"/>
        </w:rPr>
        <w:t>健全高标准农田建设、管护和使用监管机制，确保建设成效。健全工程长效管护机制，明确管护责任，落实管护资金，确保工程规范、良性运行，长久发挥效益。</w:t>
      </w:r>
    </w:p>
    <w:p>
      <w:pPr>
        <w:numPr>
          <w:ilvl w:val="0"/>
          <w:numId w:val="0"/>
        </w:numPr>
        <w:bidi w:val="0"/>
        <w:ind w:left="0" w:leftChars="0" w:firstLine="640" w:firstLineChars="200"/>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eastAsia="zh-CN"/>
        </w:rPr>
        <w:t>（八）依法严管，良田粮用。</w:t>
      </w:r>
      <w:r>
        <w:rPr>
          <w:rFonts w:hint="eastAsia" w:ascii="仿宋" w:hAnsi="仿宋" w:eastAsia="仿宋" w:cs="仿宋"/>
          <w:color w:val="auto"/>
          <w:sz w:val="32"/>
          <w:szCs w:val="32"/>
        </w:rPr>
        <w:t>实行最严格的耕地保护制度，全面上图入库，强化用途管控，坚决遏制“非农化”、防止“非粮化”。强化高标准农田产能目标监测与评价，确保高标准农田原则上全部用于粮食生产。</w:t>
      </w:r>
    </w:p>
    <w:p>
      <w:pPr>
        <w:pStyle w:val="4"/>
        <w:numPr>
          <w:ilvl w:val="0"/>
          <w:numId w:val="4"/>
        </w:numPr>
        <w:bidi w:val="0"/>
        <w:rPr>
          <w:rFonts w:hint="eastAsia" w:ascii="黑体" w:hAnsi="黑体" w:eastAsia="黑体" w:cs="黑体"/>
          <w:b w:val="0"/>
          <w:bCs w:val="0"/>
          <w:color w:val="auto"/>
          <w:sz w:val="32"/>
          <w:szCs w:val="32"/>
          <w:lang w:val="en-US"/>
        </w:rPr>
      </w:pPr>
      <w:bookmarkStart w:id="50" w:name="_Toc20801_WPSOffice_Level2"/>
      <w:bookmarkStart w:id="51" w:name="_Toc25416_WPSOffice_Level2"/>
      <w:r>
        <w:rPr>
          <w:rFonts w:hint="eastAsia" w:ascii="黑体" w:hAnsi="黑体" w:eastAsia="黑体" w:cs="黑体"/>
          <w:b w:val="0"/>
          <w:bCs w:val="0"/>
          <w:color w:val="auto"/>
          <w:sz w:val="32"/>
          <w:szCs w:val="32"/>
          <w:lang w:val="en-US" w:eastAsia="zh-CN"/>
        </w:rPr>
        <w:t>总体目标</w:t>
      </w:r>
      <w:bookmarkEnd w:id="50"/>
      <w:bookmarkEnd w:id="51"/>
    </w:p>
    <w:p>
      <w:pPr>
        <w:numPr>
          <w:ilvl w:val="0"/>
          <w:numId w:val="0"/>
        </w:numPr>
        <w:bidi w:val="0"/>
        <w:ind w:left="0" w:leftChars="0" w:firstLine="640" w:firstLineChars="200"/>
        <w:rPr>
          <w:rFonts w:hint="eastAsia" w:ascii="楷体" w:hAnsi="楷体" w:eastAsia="楷体" w:cs="楷体"/>
          <w:color w:val="auto"/>
          <w:sz w:val="32"/>
          <w:szCs w:val="32"/>
          <w:lang w:eastAsia="zh-CN"/>
        </w:rPr>
      </w:pPr>
      <w:r>
        <w:rPr>
          <w:rFonts w:hint="eastAsia" w:ascii="楷体" w:hAnsi="楷体" w:eastAsia="楷体" w:cs="楷体"/>
          <w:color w:val="auto"/>
          <w:sz w:val="32"/>
          <w:szCs w:val="32"/>
          <w:lang w:eastAsia="zh-CN"/>
        </w:rPr>
        <w:t>（一）总体目标</w:t>
      </w:r>
    </w:p>
    <w:p>
      <w:pPr>
        <w:numPr>
          <w:ilvl w:val="0"/>
          <w:numId w:val="0"/>
        </w:numPr>
        <w:bidi w:val="0"/>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规划期内，集中力量建设集中连片、旱涝保收、节水高效、稳产高产、生态友好的高标准农田</w:t>
      </w:r>
      <w:r>
        <w:rPr>
          <w:rFonts w:hint="eastAsia" w:ascii="仿宋" w:hAnsi="仿宋" w:cs="仿宋"/>
          <w:color w:val="auto"/>
          <w:sz w:val="32"/>
          <w:szCs w:val="32"/>
          <w:lang w:val="en-US" w:eastAsia="zh-CN"/>
        </w:rPr>
        <w:t>,</w:t>
      </w:r>
      <w:r>
        <w:rPr>
          <w:rFonts w:hint="eastAsia" w:ascii="仿宋" w:hAnsi="仿宋" w:eastAsia="仿宋" w:cs="仿宋"/>
          <w:color w:val="auto"/>
          <w:sz w:val="32"/>
          <w:szCs w:val="32"/>
        </w:rPr>
        <w:t>满足人们粮食和食品消费升级需求，进一步筑牢保障国家粮食安全基础，把饭碗牢牢端在自己手上。通过新增建设和改造提升，力争将中型灌区有效灌溉面积优先打造成高标准农田，确保到202</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年建成</w:t>
      </w:r>
      <w:r>
        <w:rPr>
          <w:rFonts w:hint="eastAsia" w:ascii="仿宋" w:hAnsi="仿宋" w:eastAsia="仿宋" w:cs="仿宋"/>
          <w:color w:val="auto"/>
          <w:sz w:val="32"/>
          <w:szCs w:val="32"/>
          <w:lang w:val="en-US" w:eastAsia="zh-CN"/>
        </w:rPr>
        <w:t>138.85</w:t>
      </w:r>
      <w:r>
        <w:rPr>
          <w:rFonts w:hint="eastAsia" w:ascii="仿宋" w:hAnsi="仿宋" w:eastAsia="仿宋" w:cs="仿宋"/>
          <w:color w:val="auto"/>
          <w:sz w:val="32"/>
          <w:szCs w:val="32"/>
        </w:rPr>
        <w:t>万亩高标准农田</w:t>
      </w:r>
      <w:r>
        <w:rPr>
          <w:rFonts w:hint="eastAsia" w:ascii="仿宋" w:hAnsi="仿宋" w:cs="仿宋"/>
          <w:color w:val="auto"/>
          <w:sz w:val="32"/>
          <w:szCs w:val="32"/>
          <w:lang w:eastAsia="zh-CN"/>
        </w:rPr>
        <w:t>，“小田变大田”覆盖面积达到</w:t>
      </w:r>
      <w:r>
        <w:rPr>
          <w:rFonts w:hint="eastAsia" w:ascii="仿宋" w:hAnsi="仿宋" w:cs="仿宋"/>
          <w:color w:val="auto"/>
          <w:sz w:val="32"/>
          <w:szCs w:val="32"/>
          <w:lang w:val="en-US" w:eastAsia="zh-CN"/>
        </w:rPr>
        <w:t>5万亩以上</w:t>
      </w:r>
      <w:r>
        <w:rPr>
          <w:rFonts w:hint="eastAsia" w:ascii="仿宋" w:hAnsi="仿宋" w:eastAsia="仿宋" w:cs="仿宋"/>
          <w:color w:val="auto"/>
          <w:sz w:val="32"/>
          <w:szCs w:val="32"/>
        </w:rPr>
        <w:t>。到20</w:t>
      </w:r>
      <w:r>
        <w:rPr>
          <w:rFonts w:hint="eastAsia" w:ascii="仿宋" w:hAnsi="仿宋" w:eastAsia="仿宋" w:cs="仿宋"/>
          <w:color w:val="auto"/>
          <w:sz w:val="32"/>
          <w:szCs w:val="32"/>
          <w:lang w:val="en-US" w:eastAsia="zh-CN"/>
        </w:rPr>
        <w:t>25</w:t>
      </w:r>
      <w:r>
        <w:rPr>
          <w:rFonts w:hint="eastAsia" w:ascii="仿宋" w:hAnsi="仿宋" w:eastAsia="仿宋" w:cs="仿宋"/>
          <w:color w:val="auto"/>
          <w:sz w:val="32"/>
          <w:szCs w:val="32"/>
        </w:rPr>
        <w:t>年建成</w:t>
      </w:r>
      <w:r>
        <w:rPr>
          <w:rFonts w:hint="eastAsia" w:ascii="仿宋" w:hAnsi="仿宋" w:eastAsia="仿宋" w:cs="仿宋"/>
          <w:color w:val="auto"/>
          <w:sz w:val="32"/>
          <w:szCs w:val="32"/>
          <w:lang w:val="en-US" w:eastAsia="zh-CN"/>
        </w:rPr>
        <w:t>148.85</w:t>
      </w:r>
      <w:r>
        <w:rPr>
          <w:rFonts w:hint="eastAsia" w:ascii="仿宋" w:hAnsi="仿宋" w:eastAsia="仿宋" w:cs="仿宋"/>
          <w:color w:val="auto"/>
          <w:sz w:val="32"/>
          <w:szCs w:val="32"/>
        </w:rPr>
        <w:t>万亩高标准农田，改造提升</w:t>
      </w:r>
      <w:r>
        <w:rPr>
          <w:rFonts w:hint="eastAsia" w:ascii="仿宋" w:hAnsi="仿宋" w:eastAsia="仿宋" w:cs="仿宋"/>
          <w:color w:val="auto"/>
          <w:sz w:val="32"/>
          <w:szCs w:val="32"/>
          <w:lang w:val="en-US" w:eastAsia="zh-CN"/>
        </w:rPr>
        <w:t>18</w:t>
      </w:r>
      <w:r>
        <w:rPr>
          <w:rFonts w:hint="eastAsia" w:ascii="仿宋" w:hAnsi="仿宋" w:eastAsia="仿宋" w:cs="仿宋"/>
          <w:color w:val="auto"/>
          <w:sz w:val="32"/>
          <w:szCs w:val="32"/>
        </w:rPr>
        <w:t>万亩高标准农田</w:t>
      </w:r>
      <w:r>
        <w:rPr>
          <w:rFonts w:hint="eastAsia" w:ascii="仿宋" w:hAnsi="仿宋" w:cs="仿宋"/>
          <w:color w:val="auto"/>
          <w:sz w:val="32"/>
          <w:szCs w:val="32"/>
          <w:lang w:eastAsia="zh-CN"/>
        </w:rPr>
        <w:t>，“小田变大田”覆盖面积达到</w:t>
      </w:r>
      <w:r>
        <w:rPr>
          <w:rFonts w:hint="eastAsia" w:ascii="仿宋" w:hAnsi="仿宋" w:cs="仿宋"/>
          <w:color w:val="auto"/>
          <w:sz w:val="32"/>
          <w:szCs w:val="32"/>
          <w:lang w:val="en-US" w:eastAsia="zh-CN"/>
        </w:rPr>
        <w:t>49万亩以上</w:t>
      </w:r>
      <w:r>
        <w:rPr>
          <w:rFonts w:hint="eastAsia" w:ascii="仿宋" w:hAnsi="仿宋" w:eastAsia="仿宋" w:cs="仿宋"/>
          <w:color w:val="auto"/>
          <w:sz w:val="32"/>
          <w:szCs w:val="32"/>
        </w:rPr>
        <w:t>。到20</w:t>
      </w:r>
      <w:r>
        <w:rPr>
          <w:rFonts w:hint="eastAsia" w:ascii="仿宋" w:hAnsi="仿宋" w:eastAsia="仿宋" w:cs="仿宋"/>
          <w:color w:val="auto"/>
          <w:sz w:val="32"/>
          <w:szCs w:val="32"/>
          <w:lang w:val="en-US" w:eastAsia="zh-CN"/>
        </w:rPr>
        <w:t>30</w:t>
      </w:r>
      <w:r>
        <w:rPr>
          <w:rFonts w:hint="eastAsia" w:ascii="仿宋" w:hAnsi="仿宋" w:eastAsia="仿宋" w:cs="仿宋"/>
          <w:color w:val="auto"/>
          <w:sz w:val="32"/>
          <w:szCs w:val="32"/>
        </w:rPr>
        <w:t>年建成</w:t>
      </w:r>
      <w:r>
        <w:rPr>
          <w:rFonts w:hint="eastAsia" w:ascii="仿宋" w:hAnsi="仿宋" w:eastAsia="仿宋" w:cs="仿宋"/>
          <w:color w:val="auto"/>
          <w:sz w:val="32"/>
          <w:szCs w:val="32"/>
          <w:lang w:val="en-US" w:eastAsia="zh-CN"/>
        </w:rPr>
        <w:t>159.85</w:t>
      </w:r>
      <w:r>
        <w:rPr>
          <w:rFonts w:hint="eastAsia" w:ascii="仿宋" w:hAnsi="仿宋" w:eastAsia="仿宋" w:cs="仿宋"/>
          <w:color w:val="auto"/>
          <w:sz w:val="32"/>
          <w:szCs w:val="32"/>
        </w:rPr>
        <w:t>万亩高标准农田，改造提升</w:t>
      </w:r>
      <w:r>
        <w:rPr>
          <w:rFonts w:hint="eastAsia" w:ascii="仿宋" w:hAnsi="仿宋" w:eastAsia="仿宋" w:cs="仿宋"/>
          <w:color w:val="auto"/>
          <w:sz w:val="32"/>
          <w:szCs w:val="32"/>
          <w:lang w:val="en-US" w:eastAsia="zh-CN"/>
        </w:rPr>
        <w:t>62</w:t>
      </w:r>
      <w:r>
        <w:rPr>
          <w:rFonts w:hint="eastAsia" w:ascii="仿宋" w:hAnsi="仿宋" w:eastAsia="仿宋" w:cs="仿宋"/>
          <w:color w:val="auto"/>
          <w:sz w:val="32"/>
          <w:szCs w:val="32"/>
        </w:rPr>
        <w:t>万亩高标准农田</w:t>
      </w:r>
      <w:r>
        <w:rPr>
          <w:rFonts w:hint="eastAsia" w:ascii="仿宋" w:hAnsi="仿宋" w:cs="仿宋"/>
          <w:color w:val="auto"/>
          <w:sz w:val="32"/>
          <w:szCs w:val="32"/>
          <w:lang w:eastAsia="zh-CN"/>
        </w:rPr>
        <w:t>，“小田变大田”覆盖面积达到</w:t>
      </w:r>
      <w:r>
        <w:rPr>
          <w:rFonts w:hint="eastAsia" w:ascii="仿宋" w:hAnsi="仿宋" w:cs="仿宋"/>
          <w:color w:val="auto"/>
          <w:sz w:val="32"/>
          <w:szCs w:val="32"/>
          <w:lang w:val="en-US" w:eastAsia="zh-CN"/>
        </w:rPr>
        <w:t>100万亩以上</w:t>
      </w:r>
      <w:r>
        <w:rPr>
          <w:rFonts w:hint="eastAsia" w:ascii="仿宋" w:hAnsi="仿宋" w:eastAsia="仿宋" w:cs="仿宋"/>
          <w:color w:val="auto"/>
          <w:sz w:val="32"/>
          <w:szCs w:val="32"/>
        </w:rPr>
        <w:t>。把高效节水灌溉与高标准农田建设统筹规划、同步实施，规划期内完成</w:t>
      </w:r>
      <w:r>
        <w:rPr>
          <w:rFonts w:hint="eastAsia" w:ascii="仿宋" w:hAnsi="仿宋" w:eastAsia="仿宋" w:cs="仿宋"/>
          <w:color w:val="auto"/>
          <w:sz w:val="32"/>
          <w:szCs w:val="32"/>
          <w:lang w:val="en-US" w:eastAsia="zh-CN"/>
        </w:rPr>
        <w:t>0.1</w:t>
      </w:r>
      <w:r>
        <w:rPr>
          <w:rFonts w:hint="eastAsia" w:ascii="仿宋" w:hAnsi="仿宋" w:eastAsia="仿宋" w:cs="仿宋"/>
          <w:color w:val="auto"/>
          <w:sz w:val="32"/>
          <w:szCs w:val="32"/>
        </w:rPr>
        <w:t>万亩新增高效节水灌溉建设任务。到2035年，通过持续改造提升，</w:t>
      </w:r>
      <w:r>
        <w:rPr>
          <w:rFonts w:hint="eastAsia" w:ascii="仿宋" w:hAnsi="仿宋" w:cs="仿宋"/>
          <w:color w:val="auto"/>
          <w:sz w:val="32"/>
          <w:szCs w:val="32"/>
          <w:lang w:eastAsia="zh-CN"/>
        </w:rPr>
        <w:t>全市</w:t>
      </w:r>
      <w:r>
        <w:rPr>
          <w:rFonts w:hint="eastAsia" w:ascii="仿宋" w:hAnsi="仿宋" w:eastAsia="仿宋" w:cs="仿宋"/>
          <w:color w:val="auto"/>
          <w:sz w:val="32"/>
          <w:szCs w:val="32"/>
        </w:rPr>
        <w:t>高标准农田保有量和质量进一步提高，绿色农田建设模式进</w:t>
      </w:r>
      <w:r>
        <w:rPr>
          <w:rFonts w:hint="eastAsia" w:ascii="仿宋" w:hAnsi="仿宋" w:eastAsia="仿宋" w:cs="仿宋"/>
          <w:color w:val="auto"/>
          <w:sz w:val="32"/>
          <w:szCs w:val="32"/>
          <w:lang w:eastAsia="zh-CN"/>
        </w:rPr>
        <w:t>一</w:t>
      </w:r>
      <w:r>
        <w:rPr>
          <w:rFonts w:hint="eastAsia" w:ascii="仿宋" w:hAnsi="仿宋" w:eastAsia="仿宋" w:cs="仿宋"/>
          <w:color w:val="auto"/>
          <w:sz w:val="32"/>
          <w:szCs w:val="32"/>
        </w:rPr>
        <w:t>步普及，支撑粮食生产和重要农产品供给能力进一步提升，形成更高层次、更有效率、更可持续的国家粮食安全保障基础。</w:t>
      </w:r>
    </w:p>
    <w:p>
      <w:pPr>
        <w:numPr>
          <w:ilvl w:val="0"/>
          <w:numId w:val="0"/>
        </w:numPr>
        <w:bidi w:val="0"/>
        <w:ind w:left="0" w:leftChars="0" w:firstLine="640" w:firstLineChars="200"/>
        <w:rPr>
          <w:rFonts w:hint="eastAsia" w:ascii="楷体" w:hAnsi="楷体" w:eastAsia="楷体" w:cs="楷体"/>
          <w:color w:val="auto"/>
          <w:sz w:val="32"/>
          <w:szCs w:val="32"/>
          <w:lang w:eastAsia="zh-CN"/>
        </w:rPr>
      </w:pPr>
    </w:p>
    <w:p>
      <w:pPr>
        <w:numPr>
          <w:ilvl w:val="0"/>
          <w:numId w:val="0"/>
        </w:numPr>
        <w:bidi w:val="0"/>
        <w:ind w:left="0" w:leftChars="0" w:firstLine="640" w:firstLineChars="200"/>
        <w:rPr>
          <w:rFonts w:hint="eastAsia" w:ascii="楷体" w:hAnsi="楷体" w:eastAsia="楷体" w:cs="楷体"/>
          <w:color w:val="auto"/>
          <w:sz w:val="32"/>
          <w:szCs w:val="32"/>
          <w:lang w:eastAsia="zh-CN"/>
        </w:rPr>
      </w:pPr>
    </w:p>
    <w:p>
      <w:pPr>
        <w:numPr>
          <w:ilvl w:val="0"/>
          <w:numId w:val="0"/>
        </w:numPr>
        <w:bidi w:val="0"/>
        <w:rPr>
          <w:rFonts w:hint="eastAsia" w:ascii="楷体" w:hAnsi="楷体" w:eastAsia="楷体" w:cs="楷体"/>
          <w:color w:val="auto"/>
          <w:sz w:val="32"/>
          <w:szCs w:val="32"/>
          <w:lang w:eastAsia="zh-CN"/>
        </w:rPr>
      </w:pPr>
    </w:p>
    <w:p>
      <w:pPr>
        <w:numPr>
          <w:ilvl w:val="0"/>
          <w:numId w:val="0"/>
        </w:numPr>
        <w:bidi w:val="0"/>
        <w:ind w:left="0" w:leftChars="0" w:firstLine="640" w:firstLineChars="200"/>
        <w:rPr>
          <w:rFonts w:hint="eastAsia" w:ascii="楷体" w:hAnsi="楷体" w:eastAsia="楷体" w:cs="楷体"/>
          <w:color w:val="auto"/>
          <w:sz w:val="32"/>
          <w:szCs w:val="32"/>
          <w:lang w:eastAsia="zh-CN"/>
        </w:rPr>
      </w:pPr>
      <w:r>
        <w:rPr>
          <w:rFonts w:hint="eastAsia" w:ascii="楷体" w:hAnsi="楷体" w:eastAsia="楷体" w:cs="楷体"/>
          <w:color w:val="auto"/>
          <w:sz w:val="32"/>
          <w:szCs w:val="32"/>
          <w:lang w:eastAsia="zh-CN"/>
        </w:rPr>
        <w:t>（二）具体目标</w:t>
      </w: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color w:val="auto"/>
        </w:rPr>
      </w:pPr>
      <w:bookmarkStart w:id="52" w:name="_Toc26111_WPSOffice_Level2"/>
      <w:bookmarkStart w:id="53" w:name="_Toc15838_WPSOffice_Level2"/>
      <w:bookmarkStart w:id="54" w:name="_Toc4171_WPSOffice_Level2"/>
      <w:bookmarkStart w:id="55" w:name="_Toc23424_WPSOffice_Level2"/>
      <w:bookmarkStart w:id="56" w:name="_Toc283_WPSOffice_Level2"/>
      <w:r>
        <w:rPr>
          <w:color w:val="auto"/>
        </w:rPr>
        <w:t>表1</w:t>
      </w:r>
      <w:r>
        <w:rPr>
          <w:rFonts w:hint="eastAsia"/>
          <w:color w:val="auto"/>
          <w:lang w:val="en-US" w:eastAsia="zh-CN"/>
        </w:rPr>
        <w:t>池州市</w:t>
      </w:r>
      <w:r>
        <w:rPr>
          <w:color w:val="auto"/>
        </w:rPr>
        <w:t>高标准农田建设目标任务表</w:t>
      </w:r>
      <w:bookmarkEnd w:id="52"/>
      <w:bookmarkEnd w:id="53"/>
      <w:bookmarkEnd w:id="54"/>
      <w:bookmarkEnd w:id="55"/>
      <w:bookmarkEnd w:id="56"/>
    </w:p>
    <w:tbl>
      <w:tblPr>
        <w:tblStyle w:val="14"/>
        <w:tblW w:w="915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2332"/>
        <w:gridCol w:w="4847"/>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233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指标</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目标值</w:t>
            </w:r>
          </w:p>
        </w:tc>
        <w:tc>
          <w:tcPr>
            <w:tcW w:w="106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2"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高标准农田建设</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到2022年建成高标准农田</w:t>
            </w:r>
            <w:r>
              <w:rPr>
                <w:rFonts w:hint="eastAsia" w:ascii="仿宋" w:hAnsi="仿宋" w:cs="仿宋"/>
                <w:color w:val="auto"/>
                <w:sz w:val="28"/>
                <w:szCs w:val="28"/>
                <w:lang w:val="en-US" w:eastAsia="zh-CN"/>
              </w:rPr>
              <w:t>138.85</w:t>
            </w:r>
            <w:r>
              <w:rPr>
                <w:rFonts w:hint="eastAsia" w:ascii="仿宋" w:hAnsi="仿宋" w:eastAsia="仿宋" w:cs="仿宋"/>
                <w:color w:val="auto"/>
                <w:sz w:val="28"/>
                <w:szCs w:val="28"/>
              </w:rPr>
              <w:t>万亩</w:t>
            </w:r>
            <w:r>
              <w:rPr>
                <w:rFonts w:hint="eastAsia" w:ascii="仿宋" w:hAnsi="仿宋" w:cs="仿宋"/>
                <w:color w:val="auto"/>
                <w:sz w:val="28"/>
                <w:szCs w:val="28"/>
                <w:lang w:eastAsia="zh-CN"/>
              </w:rPr>
              <w:t>，</w:t>
            </w:r>
            <w:r>
              <w:rPr>
                <w:rFonts w:hint="eastAsia" w:ascii="仿宋" w:hAnsi="仿宋" w:cs="仿宋"/>
                <w:color w:val="auto"/>
                <w:sz w:val="32"/>
                <w:szCs w:val="32"/>
                <w:lang w:eastAsia="zh-CN"/>
              </w:rPr>
              <w:t>“小田变大田”覆盖面积达到</w:t>
            </w:r>
            <w:r>
              <w:rPr>
                <w:rFonts w:hint="eastAsia" w:ascii="仿宋" w:hAnsi="仿宋" w:cs="仿宋"/>
                <w:color w:val="auto"/>
                <w:sz w:val="32"/>
                <w:szCs w:val="32"/>
                <w:lang w:val="en-US" w:eastAsia="zh-CN"/>
              </w:rPr>
              <w:t>5万亩以上</w:t>
            </w:r>
            <w:r>
              <w:rPr>
                <w:rFonts w:hint="eastAsia" w:ascii="仿宋" w:hAnsi="仿宋" w:eastAsia="仿宋" w:cs="仿宋"/>
                <w:color w:val="auto"/>
                <w:sz w:val="32"/>
                <w:szCs w:val="32"/>
              </w:rPr>
              <w:t>。</w:t>
            </w:r>
          </w:p>
        </w:tc>
        <w:tc>
          <w:tcPr>
            <w:tcW w:w="1062"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8"/>
                <w:szCs w:val="28"/>
              </w:rPr>
            </w:pPr>
          </w:p>
        </w:tc>
        <w:tc>
          <w:tcPr>
            <w:tcW w:w="233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到2025年建成高标准农田</w:t>
            </w:r>
            <w:r>
              <w:rPr>
                <w:rFonts w:hint="eastAsia" w:ascii="仿宋" w:hAnsi="仿宋" w:cs="仿宋"/>
                <w:color w:val="auto"/>
                <w:sz w:val="28"/>
                <w:szCs w:val="28"/>
                <w:lang w:val="en-US" w:eastAsia="zh-CN"/>
              </w:rPr>
              <w:t>148.85</w:t>
            </w:r>
            <w:r>
              <w:rPr>
                <w:rFonts w:hint="eastAsia" w:ascii="仿宋" w:hAnsi="仿宋" w:eastAsia="仿宋" w:cs="仿宋"/>
                <w:color w:val="auto"/>
                <w:sz w:val="28"/>
                <w:szCs w:val="28"/>
              </w:rPr>
              <w:t>万亩</w:t>
            </w:r>
            <w:r>
              <w:rPr>
                <w:rFonts w:hint="eastAsia" w:ascii="仿宋" w:hAnsi="仿宋" w:cs="仿宋"/>
                <w:color w:val="auto"/>
                <w:sz w:val="28"/>
                <w:szCs w:val="28"/>
                <w:lang w:eastAsia="zh-CN"/>
              </w:rPr>
              <w:t>，</w:t>
            </w:r>
            <w:r>
              <w:rPr>
                <w:rFonts w:hint="eastAsia" w:ascii="仿宋" w:hAnsi="仿宋" w:eastAsia="仿宋" w:cs="仿宋"/>
                <w:color w:val="auto"/>
                <w:sz w:val="28"/>
                <w:szCs w:val="28"/>
              </w:rPr>
              <w:t>改造提升高标准农田</w:t>
            </w:r>
            <w:r>
              <w:rPr>
                <w:rFonts w:hint="eastAsia" w:ascii="仿宋" w:hAnsi="仿宋" w:cs="仿宋"/>
                <w:color w:val="auto"/>
                <w:sz w:val="28"/>
                <w:szCs w:val="28"/>
                <w:lang w:val="en-US" w:eastAsia="zh-CN"/>
              </w:rPr>
              <w:t>18</w:t>
            </w:r>
            <w:r>
              <w:rPr>
                <w:rFonts w:hint="eastAsia" w:ascii="仿宋" w:hAnsi="仿宋" w:eastAsia="仿宋" w:cs="仿宋"/>
                <w:color w:val="auto"/>
                <w:sz w:val="28"/>
                <w:szCs w:val="28"/>
              </w:rPr>
              <w:t>万亩</w:t>
            </w:r>
            <w:r>
              <w:rPr>
                <w:rFonts w:hint="eastAsia" w:ascii="仿宋" w:hAnsi="仿宋" w:cs="仿宋"/>
                <w:color w:val="auto"/>
                <w:sz w:val="28"/>
                <w:szCs w:val="28"/>
                <w:lang w:eastAsia="zh-CN"/>
              </w:rPr>
              <w:t>，</w:t>
            </w:r>
            <w:r>
              <w:rPr>
                <w:rFonts w:hint="eastAsia" w:ascii="仿宋" w:hAnsi="仿宋" w:cs="仿宋"/>
                <w:color w:val="auto"/>
                <w:sz w:val="32"/>
                <w:szCs w:val="32"/>
                <w:lang w:eastAsia="zh-CN"/>
              </w:rPr>
              <w:t>“小田变大田”覆盖面积达到</w:t>
            </w:r>
            <w:r>
              <w:rPr>
                <w:rFonts w:hint="eastAsia" w:ascii="仿宋" w:hAnsi="仿宋" w:cs="仿宋"/>
                <w:color w:val="auto"/>
                <w:sz w:val="32"/>
                <w:szCs w:val="32"/>
                <w:lang w:val="en-US" w:eastAsia="zh-CN"/>
              </w:rPr>
              <w:t>49万亩以上</w:t>
            </w:r>
            <w:r>
              <w:rPr>
                <w:rFonts w:hint="eastAsia" w:ascii="仿宋" w:hAnsi="仿宋" w:eastAsia="仿宋" w:cs="仿宋"/>
                <w:color w:val="auto"/>
                <w:sz w:val="32"/>
                <w:szCs w:val="32"/>
              </w:rPr>
              <w:t>。</w:t>
            </w:r>
          </w:p>
        </w:tc>
        <w:tc>
          <w:tcPr>
            <w:tcW w:w="106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8"/>
                <w:szCs w:val="28"/>
              </w:rPr>
            </w:pPr>
          </w:p>
        </w:tc>
        <w:tc>
          <w:tcPr>
            <w:tcW w:w="233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到2030年建成高标准农田</w:t>
            </w:r>
            <w:r>
              <w:rPr>
                <w:rFonts w:hint="eastAsia" w:ascii="仿宋" w:hAnsi="仿宋" w:cs="仿宋"/>
                <w:color w:val="auto"/>
                <w:sz w:val="28"/>
                <w:szCs w:val="28"/>
                <w:lang w:val="en-US" w:eastAsia="zh-CN"/>
              </w:rPr>
              <w:t>159.85</w:t>
            </w:r>
            <w:r>
              <w:rPr>
                <w:rFonts w:hint="eastAsia" w:ascii="仿宋" w:hAnsi="仿宋" w:eastAsia="仿宋" w:cs="仿宋"/>
                <w:color w:val="auto"/>
                <w:sz w:val="28"/>
                <w:szCs w:val="28"/>
              </w:rPr>
              <w:t>万亩</w:t>
            </w:r>
            <w:r>
              <w:rPr>
                <w:rFonts w:hint="eastAsia" w:ascii="仿宋" w:hAnsi="仿宋" w:cs="仿宋"/>
                <w:color w:val="auto"/>
                <w:sz w:val="28"/>
                <w:szCs w:val="28"/>
                <w:lang w:eastAsia="zh-CN"/>
              </w:rPr>
              <w:t>，</w:t>
            </w:r>
            <w:r>
              <w:rPr>
                <w:rFonts w:hint="eastAsia" w:ascii="仿宋" w:hAnsi="仿宋" w:eastAsia="仿宋" w:cs="仿宋"/>
                <w:color w:val="auto"/>
                <w:sz w:val="28"/>
                <w:szCs w:val="28"/>
              </w:rPr>
              <w:t>改造提升高标准农田</w:t>
            </w:r>
            <w:r>
              <w:rPr>
                <w:rFonts w:hint="eastAsia" w:ascii="仿宋" w:hAnsi="仿宋" w:cs="仿宋"/>
                <w:color w:val="auto"/>
                <w:sz w:val="28"/>
                <w:szCs w:val="28"/>
                <w:lang w:val="en-US" w:eastAsia="zh-CN"/>
              </w:rPr>
              <w:t>62</w:t>
            </w:r>
            <w:r>
              <w:rPr>
                <w:rFonts w:hint="eastAsia" w:ascii="仿宋" w:hAnsi="仿宋" w:eastAsia="仿宋" w:cs="仿宋"/>
                <w:color w:val="auto"/>
                <w:sz w:val="28"/>
                <w:szCs w:val="28"/>
              </w:rPr>
              <w:t>万亩</w:t>
            </w:r>
            <w:r>
              <w:rPr>
                <w:rFonts w:hint="eastAsia" w:ascii="仿宋" w:hAnsi="仿宋" w:cs="仿宋"/>
                <w:color w:val="auto"/>
                <w:sz w:val="28"/>
                <w:szCs w:val="28"/>
                <w:lang w:eastAsia="zh-CN"/>
              </w:rPr>
              <w:t>，</w:t>
            </w:r>
            <w:r>
              <w:rPr>
                <w:rFonts w:hint="eastAsia" w:ascii="仿宋" w:hAnsi="仿宋" w:cs="仿宋"/>
                <w:color w:val="auto"/>
                <w:sz w:val="32"/>
                <w:szCs w:val="32"/>
                <w:lang w:eastAsia="zh-CN"/>
              </w:rPr>
              <w:t>“小田变大田”覆盖面积达到</w:t>
            </w:r>
            <w:r>
              <w:rPr>
                <w:rFonts w:hint="eastAsia" w:ascii="仿宋" w:hAnsi="仿宋" w:cs="仿宋"/>
                <w:color w:val="auto"/>
                <w:sz w:val="32"/>
                <w:szCs w:val="32"/>
                <w:lang w:val="en-US" w:eastAsia="zh-CN"/>
              </w:rPr>
              <w:t>100万亩以上</w:t>
            </w:r>
            <w:r>
              <w:rPr>
                <w:rFonts w:hint="eastAsia" w:ascii="仿宋" w:hAnsi="仿宋" w:eastAsia="仿宋" w:cs="仿宋"/>
                <w:color w:val="auto"/>
                <w:sz w:val="32"/>
                <w:szCs w:val="32"/>
              </w:rPr>
              <w:t>。</w:t>
            </w:r>
          </w:p>
        </w:tc>
        <w:tc>
          <w:tcPr>
            <w:tcW w:w="106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2"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高效节水灌溉建设</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2021到2025年新增高效节水灌溉面积</w:t>
            </w:r>
            <w:r>
              <w:rPr>
                <w:rFonts w:hint="eastAsia" w:ascii="仿宋" w:hAnsi="仿宋" w:cs="仿宋"/>
                <w:color w:val="auto"/>
                <w:sz w:val="28"/>
                <w:szCs w:val="28"/>
                <w:lang w:val="en-US" w:eastAsia="zh-CN"/>
              </w:rPr>
              <w:t>0.05</w:t>
            </w:r>
            <w:r>
              <w:rPr>
                <w:rFonts w:hint="eastAsia" w:ascii="仿宋" w:hAnsi="仿宋" w:eastAsia="仿宋" w:cs="仿宋"/>
                <w:color w:val="auto"/>
                <w:sz w:val="28"/>
                <w:szCs w:val="28"/>
              </w:rPr>
              <w:t>万亩</w:t>
            </w:r>
          </w:p>
        </w:tc>
        <w:tc>
          <w:tcPr>
            <w:tcW w:w="1062"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8"/>
                <w:szCs w:val="28"/>
              </w:rPr>
            </w:pPr>
          </w:p>
        </w:tc>
        <w:tc>
          <w:tcPr>
            <w:tcW w:w="233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2026到2030年新增高效节水灌溉面积</w:t>
            </w:r>
            <w:r>
              <w:rPr>
                <w:rFonts w:hint="eastAsia" w:ascii="仿宋" w:hAnsi="仿宋" w:cs="仿宋"/>
                <w:color w:val="auto"/>
                <w:sz w:val="28"/>
                <w:szCs w:val="28"/>
                <w:lang w:val="en-US" w:eastAsia="zh-CN"/>
              </w:rPr>
              <w:t>0.05</w:t>
            </w:r>
            <w:r>
              <w:rPr>
                <w:rFonts w:hint="eastAsia" w:ascii="仿宋" w:hAnsi="仿宋" w:eastAsia="仿宋" w:cs="仿宋"/>
                <w:color w:val="auto"/>
                <w:sz w:val="28"/>
                <w:szCs w:val="28"/>
              </w:rPr>
              <w:t>万亩</w:t>
            </w:r>
          </w:p>
        </w:tc>
        <w:tc>
          <w:tcPr>
            <w:tcW w:w="106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2"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新增粮食综合生产能力</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新增高标准农田亩均产能提高100公斤左右</w:t>
            </w:r>
          </w:p>
        </w:tc>
        <w:tc>
          <w:tcPr>
            <w:tcW w:w="1062"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8"/>
                <w:szCs w:val="28"/>
              </w:rPr>
            </w:pPr>
          </w:p>
        </w:tc>
        <w:tc>
          <w:tcPr>
            <w:tcW w:w="233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改造提升高标准农田产能高于当地高标准农田产能的平均水平</w:t>
            </w:r>
          </w:p>
        </w:tc>
        <w:tc>
          <w:tcPr>
            <w:tcW w:w="1062"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新增建设高标准农田亩均节水率</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10%以上</w:t>
            </w:r>
          </w:p>
        </w:tc>
        <w:tc>
          <w:tcPr>
            <w:tcW w:w="106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建成高标准农田上图入库覆盖率</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100%</w:t>
            </w:r>
          </w:p>
        </w:tc>
        <w:tc>
          <w:tcPr>
            <w:tcW w:w="106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6"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耕地质量提升</w:t>
            </w:r>
          </w:p>
        </w:tc>
        <w:tc>
          <w:tcPr>
            <w:tcW w:w="4847"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10年期间预计提升0.3个等级</w:t>
            </w:r>
          </w:p>
        </w:tc>
        <w:tc>
          <w:tcPr>
            <w:tcW w:w="1062" w:type="dxa"/>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预期性</w:t>
            </w:r>
          </w:p>
        </w:tc>
      </w:tr>
    </w:tbl>
    <w:p>
      <w:pPr>
        <w:rPr>
          <w:rFonts w:hint="eastAsia"/>
          <w:b w:val="0"/>
          <w:bCs w:val="0"/>
          <w:color w:val="auto"/>
          <w:lang w:val="en-US" w:eastAsia="zh-CN"/>
        </w:rPr>
      </w:pPr>
      <w:bookmarkStart w:id="57" w:name="_Toc21860_WPSOffice_Level1"/>
      <w:r>
        <w:rPr>
          <w:rFonts w:hint="eastAsia"/>
          <w:b w:val="0"/>
          <w:bCs w:val="0"/>
          <w:color w:val="auto"/>
          <w:lang w:val="en-US" w:eastAsia="zh-CN"/>
        </w:rPr>
        <w:br w:type="page"/>
      </w:r>
    </w:p>
    <w:p>
      <w:pPr>
        <w:pStyle w:val="3"/>
        <w:numPr>
          <w:ilvl w:val="0"/>
          <w:numId w:val="0"/>
        </w:numPr>
        <w:bidi w:val="0"/>
        <w:spacing w:line="579" w:lineRule="auto"/>
        <w:ind w:leftChars="0"/>
        <w:rPr>
          <w:rFonts w:hint="eastAsia" w:ascii="Times New Roman" w:hAnsi="Times New Roman"/>
          <w:b w:val="0"/>
          <w:bCs w:val="0"/>
          <w:color w:val="auto"/>
          <w:lang w:val="en-US" w:eastAsia="zh-CN"/>
        </w:rPr>
      </w:pPr>
      <w:bookmarkStart w:id="58" w:name="_Toc7082_WPSOffice_Level1"/>
      <w:r>
        <w:rPr>
          <w:rFonts w:hint="eastAsia"/>
          <w:b w:val="0"/>
          <w:bCs w:val="0"/>
          <w:color w:val="auto"/>
          <w:lang w:val="en-US" w:eastAsia="zh-CN"/>
        </w:rPr>
        <w:t xml:space="preserve">第三章 </w:t>
      </w:r>
      <w:r>
        <w:rPr>
          <w:rFonts w:hint="eastAsia" w:ascii="Times New Roman" w:hAnsi="Times New Roman"/>
          <w:b w:val="0"/>
          <w:bCs w:val="0"/>
          <w:color w:val="auto"/>
          <w:lang w:val="en-US" w:eastAsia="zh-CN"/>
        </w:rPr>
        <w:t>建设标准和建设内容</w:t>
      </w:r>
      <w:bookmarkEnd w:id="57"/>
      <w:bookmarkEnd w:id="58"/>
    </w:p>
    <w:p>
      <w:pPr>
        <w:pStyle w:val="4"/>
        <w:numPr>
          <w:ilvl w:val="0"/>
          <w:numId w:val="5"/>
        </w:numPr>
        <w:bidi w:val="0"/>
        <w:rPr>
          <w:rFonts w:hint="eastAsia"/>
          <w:b w:val="0"/>
          <w:bCs w:val="0"/>
          <w:color w:val="auto"/>
          <w:sz w:val="32"/>
          <w:szCs w:val="32"/>
          <w:lang w:val="en-US" w:eastAsia="zh-CN"/>
        </w:rPr>
      </w:pPr>
      <w:bookmarkStart w:id="59" w:name="_Toc21227_WPSOffice_Level2"/>
      <w:bookmarkStart w:id="60" w:name="_Toc3166_WPSOffice_Level2"/>
      <w:r>
        <w:rPr>
          <w:rFonts w:hint="eastAsia"/>
          <w:b w:val="0"/>
          <w:bCs w:val="0"/>
          <w:color w:val="auto"/>
          <w:sz w:val="32"/>
          <w:szCs w:val="32"/>
          <w:lang w:val="en-US" w:eastAsia="zh-CN"/>
        </w:rPr>
        <w:t>建设标准</w:t>
      </w:r>
      <w:bookmarkEnd w:id="59"/>
      <w:bookmarkEnd w:id="60"/>
    </w:p>
    <w:p>
      <w:pPr>
        <w:bidi w:val="0"/>
        <w:rPr>
          <w:rFonts w:hint="eastAsia"/>
          <w:color w:val="auto"/>
          <w:sz w:val="32"/>
          <w:szCs w:val="32"/>
        </w:rPr>
      </w:pPr>
      <w:r>
        <w:rPr>
          <w:rFonts w:hint="eastAsia"/>
          <w:color w:val="auto"/>
          <w:sz w:val="32"/>
          <w:szCs w:val="32"/>
        </w:rPr>
        <w:t>遵循乡村振兴战略部署要求，统筹考虑高标准农田建设的农业、水利、土地、林业、电力、气象等各方面因素，围绕提升农田生产能力、灌排能力、田间道路通行运输能力、农田防护与生态环境保护能力、机械化水平、科技应用水平、建后管护能力等要求，结合国土空间、农业农村现代化发展、水资源利用等规划，紧扣高标准农田建设的</w:t>
      </w:r>
      <w:r>
        <w:rPr>
          <w:rFonts w:hint="eastAsia"/>
          <w:color w:val="auto"/>
          <w:sz w:val="32"/>
          <w:szCs w:val="32"/>
          <w:lang w:eastAsia="zh-CN"/>
        </w:rPr>
        <w:t>“</w:t>
      </w:r>
      <w:r>
        <w:rPr>
          <w:rFonts w:hint="eastAsia"/>
          <w:color w:val="auto"/>
          <w:sz w:val="32"/>
          <w:szCs w:val="32"/>
        </w:rPr>
        <w:t>田土水路林电技管</w:t>
      </w:r>
      <w:r>
        <w:rPr>
          <w:rFonts w:hint="eastAsia"/>
          <w:color w:val="auto"/>
          <w:sz w:val="32"/>
          <w:szCs w:val="32"/>
          <w:lang w:eastAsia="zh-CN"/>
        </w:rPr>
        <w:t>”</w:t>
      </w:r>
      <w:r>
        <w:rPr>
          <w:rFonts w:hint="eastAsia"/>
          <w:color w:val="auto"/>
          <w:sz w:val="32"/>
          <w:szCs w:val="32"/>
        </w:rPr>
        <w:t>八个方面内容，加快构建科学统一、层次分明、结构合理的高标准农田建设标准体系。</w:t>
      </w:r>
    </w:p>
    <w:p>
      <w:pPr>
        <w:bidi w:val="0"/>
        <w:rPr>
          <w:rFonts w:hint="eastAsia"/>
          <w:color w:val="auto"/>
        </w:rPr>
      </w:pPr>
      <w:r>
        <w:rPr>
          <w:rFonts w:hint="eastAsia"/>
          <w:color w:val="auto"/>
          <w:sz w:val="32"/>
          <w:szCs w:val="32"/>
        </w:rPr>
        <w:t>新增建设和改造提升高标准农田应依据《高标准农田建设通则》</w:t>
      </w:r>
      <w:r>
        <w:rPr>
          <w:rFonts w:hint="default"/>
          <w:color w:val="auto"/>
          <w:sz w:val="32"/>
          <w:szCs w:val="32"/>
        </w:rPr>
        <w:t>(GB/T30600</w:t>
      </w:r>
      <w:r>
        <w:rPr>
          <w:rFonts w:hint="eastAsia"/>
          <w:color w:val="auto"/>
          <w:sz w:val="32"/>
          <w:szCs w:val="32"/>
          <w:lang w:val="en-US" w:eastAsia="zh-CN"/>
        </w:rPr>
        <w:t>-2022</w:t>
      </w:r>
      <w:r>
        <w:rPr>
          <w:rFonts w:hint="default"/>
          <w:color w:val="auto"/>
          <w:sz w:val="32"/>
          <w:szCs w:val="32"/>
        </w:rPr>
        <w:t>)</w:t>
      </w:r>
      <w:r>
        <w:rPr>
          <w:rFonts w:hint="eastAsia"/>
          <w:color w:val="auto"/>
          <w:sz w:val="32"/>
          <w:szCs w:val="32"/>
        </w:rPr>
        <w:t>等国家标准、行业标准和地方标准，</w:t>
      </w:r>
      <w:r>
        <w:rPr>
          <w:rFonts w:hint="eastAsia"/>
          <w:color w:val="auto"/>
          <w:sz w:val="32"/>
          <w:szCs w:val="32"/>
          <w:lang w:eastAsia="zh-CN"/>
        </w:rPr>
        <w:t>结合全省开展“小田变大田”改革试点工作，将“小田变大田”纳入建设范畴，在</w:t>
      </w:r>
      <w:r>
        <w:rPr>
          <w:rFonts w:hint="eastAsia"/>
          <w:color w:val="auto"/>
          <w:sz w:val="32"/>
          <w:szCs w:val="32"/>
        </w:rPr>
        <w:t>抓好农田配套设施建设和地力提升</w:t>
      </w:r>
      <w:r>
        <w:rPr>
          <w:rFonts w:hint="eastAsia"/>
          <w:color w:val="auto"/>
          <w:sz w:val="32"/>
          <w:szCs w:val="32"/>
          <w:lang w:eastAsia="zh-CN"/>
        </w:rPr>
        <w:t>的基础上</w:t>
      </w:r>
      <w:r>
        <w:rPr>
          <w:rFonts w:hint="eastAsia"/>
          <w:color w:val="auto"/>
          <w:sz w:val="32"/>
          <w:szCs w:val="32"/>
        </w:rPr>
        <w:t>，</w:t>
      </w:r>
      <w:r>
        <w:rPr>
          <w:rFonts w:hint="eastAsia"/>
          <w:color w:val="auto"/>
          <w:sz w:val="32"/>
          <w:szCs w:val="32"/>
          <w:lang w:eastAsia="zh-CN"/>
        </w:rPr>
        <w:t>通过项目带动改造，引领带动全市“小田变大田”改革工作有序稳妥推进</w:t>
      </w:r>
      <w:r>
        <w:rPr>
          <w:rFonts w:hint="eastAsia"/>
          <w:color w:val="auto"/>
          <w:sz w:val="32"/>
          <w:szCs w:val="32"/>
        </w:rPr>
        <w:t>。</w:t>
      </w:r>
    </w:p>
    <w:p>
      <w:pPr>
        <w:numPr>
          <w:ilvl w:val="0"/>
          <w:numId w:val="0"/>
        </w:numPr>
        <w:bidi w:val="0"/>
        <w:ind w:left="0" w:leftChars="0" w:firstLine="640" w:firstLineChars="200"/>
        <w:rPr>
          <w:rFonts w:hint="eastAsia"/>
          <w:color w:val="auto"/>
          <w:sz w:val="32"/>
          <w:szCs w:val="32"/>
          <w:lang w:val="en-US" w:eastAsia="zh-CN"/>
        </w:rPr>
      </w:pPr>
      <w:r>
        <w:rPr>
          <w:rFonts w:hint="eastAsia" w:ascii="楷体" w:hAnsi="楷体" w:eastAsia="楷体" w:cs="楷体"/>
          <w:color w:val="auto"/>
          <w:sz w:val="32"/>
          <w:szCs w:val="32"/>
          <w:lang w:eastAsia="zh-CN"/>
        </w:rPr>
        <w:t>（一）田块整治</w:t>
      </w:r>
      <w:r>
        <w:rPr>
          <w:rFonts w:hint="eastAsia" w:ascii="楷体" w:hAnsi="楷体" w:eastAsia="楷体" w:cs="楷体"/>
          <w:color w:val="auto"/>
          <w:sz w:val="32"/>
          <w:szCs w:val="32"/>
          <w:lang w:val="en-US" w:eastAsia="zh-CN"/>
        </w:rPr>
        <w:t>标准</w:t>
      </w:r>
    </w:p>
    <w:p>
      <w:pPr>
        <w:bidi w:val="0"/>
        <w:rPr>
          <w:color w:val="auto"/>
          <w:sz w:val="32"/>
          <w:szCs w:val="32"/>
        </w:rPr>
      </w:pPr>
      <w:r>
        <w:rPr>
          <w:color w:val="auto"/>
          <w:sz w:val="32"/>
          <w:szCs w:val="32"/>
        </w:rPr>
        <w:t>根据全</w:t>
      </w:r>
      <w:r>
        <w:rPr>
          <w:rFonts w:hint="eastAsia"/>
          <w:color w:val="auto"/>
          <w:sz w:val="32"/>
          <w:szCs w:val="32"/>
          <w:lang w:val="en-US" w:eastAsia="zh-CN"/>
        </w:rPr>
        <w:t>市</w:t>
      </w:r>
      <w:r>
        <w:rPr>
          <w:color w:val="auto"/>
          <w:sz w:val="32"/>
          <w:szCs w:val="32"/>
        </w:rPr>
        <w:t>区域分布农田特点，</w:t>
      </w:r>
      <w:r>
        <w:rPr>
          <w:rFonts w:hint="eastAsia"/>
          <w:color w:val="auto"/>
          <w:sz w:val="32"/>
          <w:szCs w:val="32"/>
          <w:lang w:eastAsia="zh-CN"/>
        </w:rPr>
        <w:t>圩区</w:t>
      </w:r>
      <w:r>
        <w:rPr>
          <w:color w:val="auto"/>
          <w:sz w:val="32"/>
          <w:szCs w:val="32"/>
        </w:rPr>
        <w:t>田（地）块，以道路、沟渠为基准形成格田、条田，适应农业机械化和田间管理要求</w:t>
      </w:r>
      <w:r>
        <w:rPr>
          <w:rFonts w:hint="eastAsia"/>
          <w:color w:val="auto"/>
          <w:sz w:val="32"/>
          <w:szCs w:val="32"/>
          <w:lang w:eastAsia="zh-CN"/>
        </w:rPr>
        <w:t>；丘陵</w:t>
      </w:r>
      <w:r>
        <w:rPr>
          <w:color w:val="auto"/>
          <w:sz w:val="32"/>
          <w:szCs w:val="32"/>
        </w:rPr>
        <w:t>山区的坡耕地，因地制宜建成等高水平梯田，做好水土保持措施，防止水土流失。</w:t>
      </w:r>
    </w:p>
    <w:p>
      <w:pPr>
        <w:bidi w:val="0"/>
        <w:rPr>
          <w:color w:val="auto"/>
          <w:sz w:val="32"/>
          <w:szCs w:val="32"/>
        </w:rPr>
      </w:pPr>
      <w:r>
        <w:rPr>
          <w:color w:val="auto"/>
          <w:sz w:val="32"/>
          <w:szCs w:val="32"/>
        </w:rPr>
        <w:t>田块建设宜集中连片，长度和宽度应根据地形地貌、作物种类、机械作业效率、灌排效率和防止风害等因素确定。水浇地和旱田耕作层厚度应在25cm以上，水田耕作层厚度应不小于20cm。土地平整时确需打乱耕作层的，应剥离耕作层单独堆放，土地平整后再回填利用。田块方向应满足在耕作长度方向上光照时间最长、受光热量最大要求。</w:t>
      </w:r>
    </w:p>
    <w:p>
      <w:pPr>
        <w:numPr>
          <w:ilvl w:val="0"/>
          <w:numId w:val="0"/>
        </w:numPr>
        <w:bidi w:val="0"/>
        <w:ind w:firstLine="642" w:firstLineChars="200"/>
        <w:rPr>
          <w:rFonts w:hint="eastAsia"/>
          <w:color w:val="auto"/>
          <w:lang w:val="en-US" w:eastAsia="zh-CN"/>
        </w:rPr>
      </w:pPr>
      <w:r>
        <w:rPr>
          <w:rFonts w:hint="eastAsia"/>
          <w:b/>
          <w:bCs/>
          <w:color w:val="auto"/>
          <w:sz w:val="32"/>
          <w:szCs w:val="32"/>
          <w:lang w:val="en-US" w:eastAsia="zh-CN"/>
        </w:rPr>
        <w:t>1.“小田变大田”。</w:t>
      </w:r>
      <w:r>
        <w:rPr>
          <w:rFonts w:hint="eastAsia"/>
          <w:color w:val="auto"/>
          <w:sz w:val="32"/>
          <w:szCs w:val="32"/>
          <w:lang w:val="en-US" w:eastAsia="zh-CN"/>
        </w:rPr>
        <w:t>将“小田变大田”作为田块整治的主要内容，纳入一体规划设计、一体推进实施</w:t>
      </w:r>
      <w:r>
        <w:rPr>
          <w:rFonts w:hint="eastAsia"/>
          <w:color w:val="auto"/>
          <w:sz w:val="32"/>
          <w:szCs w:val="32"/>
          <w:lang w:eastAsia="zh-CN"/>
        </w:rPr>
        <w:t>，</w:t>
      </w:r>
      <w:r>
        <w:rPr>
          <w:rFonts w:hint="eastAsia"/>
          <w:color w:val="auto"/>
          <w:sz w:val="32"/>
          <w:szCs w:val="32"/>
          <w:lang w:val="en-US" w:eastAsia="zh-CN"/>
        </w:rPr>
        <w:t>按照丘陵山区、圩区分类制定“小田变大田”建设标准，</w:t>
      </w:r>
      <w:r>
        <w:rPr>
          <w:rFonts w:hint="eastAsia" w:cs="Times New Roman"/>
          <w:color w:val="auto"/>
          <w:sz w:val="32"/>
          <w:szCs w:val="32"/>
          <w:lang w:val="en-US" w:eastAsia="zh-CN"/>
        </w:rPr>
        <w:t>单个田块面积。沿江圩区“大田”平均一般10亩至30亩，丘陵山区“大田”一般2亩至8亩。</w:t>
      </w:r>
      <w:r>
        <w:rPr>
          <w:rFonts w:hint="eastAsia"/>
          <w:color w:val="auto"/>
          <w:sz w:val="32"/>
          <w:szCs w:val="32"/>
          <w:lang w:val="en-US" w:eastAsia="zh-CN"/>
        </w:rPr>
        <w:t>按照“田土水路林电技管”建设内容，</w:t>
      </w:r>
      <w:r>
        <w:rPr>
          <w:rFonts w:hint="eastAsia" w:cs="Times New Roman"/>
          <w:color w:val="auto"/>
          <w:sz w:val="32"/>
          <w:szCs w:val="32"/>
          <w:lang w:val="en-US" w:eastAsia="zh-CN"/>
        </w:rPr>
        <w:t>合理规划沟、渠、路、田坎等，提高田块归并程度。改造范围内，实现田块数量减少60%</w:t>
      </w:r>
      <w:r>
        <w:rPr>
          <w:rFonts w:hint="eastAsia"/>
          <w:color w:val="auto"/>
          <w:sz w:val="32"/>
          <w:szCs w:val="32"/>
          <w:lang w:val="en-US" w:eastAsia="zh-CN"/>
        </w:rPr>
        <w:t>以上，农业生产机械化作业率达到90%以上。改造提升田间灌排设施，提高农田灌溉水利用率，农田排水暴雨重现期达到10年一遇，确保旱涝保收。田间道路通达率，丘陵山区不低于90%、平原地区达到100%。完善农田电网，实现所有排灌站、机井用电应通尽通。</w:t>
      </w:r>
    </w:p>
    <w:p>
      <w:pPr>
        <w:bidi w:val="0"/>
        <w:rPr>
          <w:color w:val="auto"/>
          <w:sz w:val="32"/>
          <w:szCs w:val="32"/>
        </w:rPr>
      </w:pPr>
      <w:r>
        <w:rPr>
          <w:rFonts w:hint="eastAsia"/>
          <w:b/>
          <w:bCs/>
          <w:color w:val="auto"/>
          <w:sz w:val="32"/>
          <w:szCs w:val="32"/>
          <w:lang w:val="en-US" w:eastAsia="zh-CN"/>
        </w:rPr>
        <w:t>2.田块间水平高差</w:t>
      </w:r>
      <w:r>
        <w:rPr>
          <w:rFonts w:hint="eastAsia"/>
          <w:color w:val="auto"/>
          <w:sz w:val="32"/>
          <w:szCs w:val="32"/>
          <w:lang w:eastAsia="zh-CN"/>
        </w:rPr>
        <w:t>。</w:t>
      </w:r>
      <w:r>
        <w:rPr>
          <w:color w:val="auto"/>
          <w:sz w:val="32"/>
          <w:szCs w:val="32"/>
        </w:rPr>
        <w:t>耕作田块应实现田面平整，水田格田内田面高差应不超过±3cm；水浇地畦田内田面高差应不超过±5cm。</w:t>
      </w:r>
    </w:p>
    <w:p>
      <w:pPr>
        <w:bidi w:val="0"/>
        <w:rPr>
          <w:color w:val="auto"/>
          <w:sz w:val="32"/>
          <w:szCs w:val="32"/>
        </w:rPr>
      </w:pPr>
      <w:r>
        <w:rPr>
          <w:rFonts w:hint="eastAsia"/>
          <w:b/>
          <w:bCs/>
          <w:color w:val="auto"/>
          <w:sz w:val="32"/>
          <w:szCs w:val="32"/>
          <w:lang w:val="en-US" w:eastAsia="zh-CN"/>
        </w:rPr>
        <w:t>3.田面平整度指标。</w:t>
      </w:r>
      <w:r>
        <w:rPr>
          <w:color w:val="auto"/>
          <w:sz w:val="32"/>
          <w:szCs w:val="32"/>
        </w:rPr>
        <w:t>田面平整以田面平整度指标控制，包含地表平整度、横向地表坡降和纵向地表坡降3个指标。水稻种植田块以格田为平整单元，减少横向、纵向地表坡降；地面灌溉田块应减小横向地表坡降，喷灌微灌田块可适当放大坡降，纵向坡降根据不同区域的土壤和灌溉排水要求确定。</w:t>
      </w:r>
    </w:p>
    <w:p>
      <w:pPr>
        <w:bidi w:val="0"/>
        <w:rPr>
          <w:rFonts w:hint="eastAsia" w:eastAsia="仿宋"/>
          <w:color w:val="auto"/>
          <w:sz w:val="32"/>
          <w:szCs w:val="32"/>
          <w:lang w:val="en-US" w:eastAsia="zh-CN"/>
        </w:rPr>
      </w:pPr>
      <w:r>
        <w:rPr>
          <w:rFonts w:hint="eastAsia"/>
          <w:b/>
          <w:bCs/>
          <w:color w:val="auto"/>
          <w:sz w:val="32"/>
          <w:szCs w:val="32"/>
          <w:lang w:val="en-US" w:eastAsia="zh-CN"/>
        </w:rPr>
        <w:t>4.坡耕地改造要求。</w:t>
      </w:r>
      <w:r>
        <w:rPr>
          <w:color w:val="auto"/>
          <w:sz w:val="32"/>
          <w:szCs w:val="32"/>
        </w:rPr>
        <w:t>地面坡度为5°～25°的坡耕地，应改造成水平梯田，丘陵山区梯田化率应不低于90%；土层较薄时，宜先修筑成坡式梯田，再经逐年向下方翻土耕作，减缓田面坡度，逐步建成水平梯田。</w:t>
      </w:r>
    </w:p>
    <w:p>
      <w:pPr>
        <w:bidi w:val="0"/>
        <w:rPr>
          <w:rFonts w:hint="eastAsia"/>
          <w:color w:val="auto"/>
          <w:sz w:val="32"/>
          <w:szCs w:val="32"/>
          <w:lang w:val="en-US" w:eastAsia="zh-CN"/>
        </w:rPr>
      </w:pPr>
      <w:r>
        <w:rPr>
          <w:rFonts w:hint="eastAsia"/>
          <w:color w:val="auto"/>
          <w:sz w:val="32"/>
          <w:szCs w:val="32"/>
          <w:lang w:val="en-US" w:eastAsia="zh-CN"/>
        </w:rPr>
        <w:t>通过项目带动改造、村集体自主改造、新型经营主体自发改造三种模式，在具备条件的的地方</w:t>
      </w:r>
      <w:r>
        <w:rPr>
          <w:color w:val="auto"/>
          <w:sz w:val="32"/>
          <w:szCs w:val="32"/>
          <w:lang w:val="en-US" w:eastAsia="zh-CN"/>
        </w:rPr>
        <w:t>，</w:t>
      </w:r>
      <w:r>
        <w:rPr>
          <w:rFonts w:hint="eastAsia"/>
          <w:color w:val="auto"/>
          <w:sz w:val="32"/>
          <w:szCs w:val="32"/>
          <w:lang w:val="en-US" w:eastAsia="zh-CN"/>
        </w:rPr>
        <w:t>开展小变大、短变长、坡改梯、弯变直的“小田变大田”改造，推动农田“优质、集中、连片”，实现农田增量、农业增效、农民增收。</w:t>
      </w:r>
    </w:p>
    <w:tbl>
      <w:tblPr>
        <w:tblStyle w:val="14"/>
        <w:tblW w:w="48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5000" w:type="pct"/>
            <w:noWrap w:val="0"/>
            <w:vAlign w:val="center"/>
          </w:tcPr>
          <w:p>
            <w:pPr>
              <w:overflowPunct w:val="0"/>
              <w:autoSpaceDE w:val="0"/>
              <w:autoSpaceDN w:val="0"/>
              <w:spacing w:line="400" w:lineRule="exact"/>
              <w:jc w:val="center"/>
              <w:rPr>
                <w:rFonts w:hint="default" w:ascii="Times New Roman" w:hAnsi="Times New Roman" w:eastAsia="方正仿宋_GBK"/>
                <w:snapToGrid w:val="0"/>
                <w:color w:val="auto"/>
                <w:kern w:val="0"/>
                <w:sz w:val="30"/>
                <w:szCs w:val="30"/>
                <w:lang w:val="en-US" w:eastAsia="zh-CN"/>
              </w:rPr>
            </w:pPr>
            <w:r>
              <w:rPr>
                <w:rFonts w:hint="eastAsia" w:ascii="仿宋" w:hAnsi="仿宋" w:eastAsia="仿宋" w:cs="仿宋"/>
                <w:b/>
                <w:bCs/>
                <w:snapToGrid w:val="0"/>
                <w:color w:val="auto"/>
                <w:kern w:val="0"/>
                <w:sz w:val="30"/>
                <w:szCs w:val="30"/>
              </w:rPr>
              <w:t>专栏1</w:t>
            </w:r>
            <w:r>
              <w:rPr>
                <w:rFonts w:hint="eastAsia" w:ascii="仿宋" w:hAnsi="仿宋" w:cs="仿宋"/>
                <w:b/>
                <w:bCs/>
                <w:snapToGrid w:val="0"/>
                <w:color w:val="auto"/>
                <w:kern w:val="0"/>
                <w:sz w:val="30"/>
                <w:szCs w:val="30"/>
                <w:lang w:val="en-US" w:eastAsia="zh-CN"/>
              </w:rPr>
              <w:t xml:space="preserve"> </w:t>
            </w:r>
            <w:r>
              <w:rPr>
                <w:rFonts w:hint="eastAsia" w:ascii="仿宋" w:hAnsi="仿宋" w:eastAsia="仿宋" w:cs="仿宋"/>
                <w:b/>
                <w:bCs/>
                <w:snapToGrid w:val="0"/>
                <w:color w:val="auto"/>
                <w:kern w:val="0"/>
                <w:sz w:val="30"/>
                <w:szCs w:val="30"/>
                <w:lang w:eastAsia="zh-CN"/>
              </w:rPr>
              <w:t>“</w:t>
            </w:r>
            <w:r>
              <w:rPr>
                <w:rFonts w:hint="eastAsia" w:ascii="仿宋" w:hAnsi="仿宋" w:eastAsia="仿宋" w:cs="仿宋"/>
                <w:b/>
                <w:bCs/>
                <w:snapToGrid w:val="0"/>
                <w:color w:val="auto"/>
                <w:kern w:val="0"/>
                <w:sz w:val="30"/>
                <w:szCs w:val="30"/>
                <w:lang w:val="en-US" w:eastAsia="zh-CN"/>
              </w:rPr>
              <w:t>小田</w:t>
            </w:r>
            <w:r>
              <w:rPr>
                <w:rFonts w:hint="eastAsia" w:ascii="仿宋" w:hAnsi="仿宋" w:cs="仿宋"/>
                <w:b/>
                <w:bCs/>
                <w:snapToGrid w:val="0"/>
                <w:color w:val="auto"/>
                <w:kern w:val="0"/>
                <w:sz w:val="30"/>
                <w:szCs w:val="30"/>
                <w:lang w:val="en-US" w:eastAsia="zh-CN"/>
              </w:rPr>
              <w:t>变</w:t>
            </w:r>
            <w:bookmarkStart w:id="154" w:name="_GoBack"/>
            <w:bookmarkEnd w:id="154"/>
            <w:r>
              <w:rPr>
                <w:rFonts w:hint="eastAsia" w:ascii="仿宋" w:hAnsi="仿宋" w:eastAsia="仿宋" w:cs="仿宋"/>
                <w:b/>
                <w:bCs/>
                <w:snapToGrid w:val="0"/>
                <w:color w:val="auto"/>
                <w:kern w:val="0"/>
                <w:sz w:val="30"/>
                <w:szCs w:val="30"/>
                <w:lang w:val="en-US" w:eastAsia="zh-CN"/>
              </w:rPr>
              <w:t>大田</w:t>
            </w:r>
            <w:r>
              <w:rPr>
                <w:rFonts w:hint="eastAsia" w:ascii="仿宋" w:hAnsi="仿宋" w:eastAsia="仿宋" w:cs="仿宋"/>
                <w:b/>
                <w:bCs/>
                <w:snapToGrid w:val="0"/>
                <w:color w:val="auto"/>
                <w:kern w:val="0"/>
                <w:sz w:val="30"/>
                <w:szCs w:val="30"/>
                <w:lang w:eastAsia="zh-CN"/>
              </w:rPr>
              <w:t>”</w:t>
            </w:r>
            <w:r>
              <w:rPr>
                <w:rFonts w:hint="eastAsia" w:ascii="仿宋" w:hAnsi="仿宋" w:eastAsia="仿宋" w:cs="仿宋"/>
                <w:b/>
                <w:bCs/>
                <w:snapToGrid w:val="0"/>
                <w:color w:val="auto"/>
                <w:kern w:val="0"/>
                <w:sz w:val="30"/>
                <w:szCs w:val="30"/>
                <w:lang w:val="en-US" w:eastAsia="zh-CN"/>
              </w:rPr>
              <w:t>改革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trPr>
        <w:tc>
          <w:tcPr>
            <w:tcW w:w="5000" w:type="pct"/>
            <w:noWrap w:val="0"/>
            <w:vAlign w:val="top"/>
          </w:tcPr>
          <w:p>
            <w:pPr>
              <w:pStyle w:val="7"/>
              <w:keepNext w:val="0"/>
              <w:keepLines w:val="0"/>
              <w:pageBreakBefore w:val="0"/>
              <w:widowControl w:val="0"/>
              <w:kinsoku w:val="0"/>
              <w:wordWrap/>
              <w:overflowPunct w:val="0"/>
              <w:topLinePunct w:val="0"/>
              <w:autoSpaceDE/>
              <w:autoSpaceDN/>
              <w:bidi w:val="0"/>
              <w:adjustRightInd/>
              <w:snapToGrid/>
              <w:spacing w:beforeLines="0" w:afterLines="0" w:line="400" w:lineRule="exact"/>
              <w:ind w:left="0" w:firstLine="480"/>
              <w:textAlignment w:val="auto"/>
              <w:rPr>
                <w:rFonts w:ascii="Times New Roman" w:hAnsi="Times New Roman" w:eastAsia="方正仿宋_GBK"/>
                <w:snapToGrid w:val="0"/>
                <w:color w:val="auto"/>
                <w:kern w:val="0"/>
                <w:sz w:val="30"/>
                <w:szCs w:val="30"/>
              </w:rPr>
            </w:pPr>
            <w:r>
              <w:rPr>
                <w:rFonts w:hint="eastAsia" w:ascii="仿宋" w:hAnsi="仿宋" w:eastAsia="仿宋" w:cs="仿宋"/>
                <w:color w:val="auto"/>
                <w:sz w:val="30"/>
                <w:szCs w:val="30"/>
              </w:rPr>
              <w:t>2023-2025年，</w:t>
            </w:r>
            <w:r>
              <w:rPr>
                <w:rFonts w:hint="eastAsia" w:ascii="仿宋" w:hAnsi="仿宋" w:eastAsia="仿宋" w:cs="仿宋"/>
                <w:color w:val="auto"/>
                <w:sz w:val="30"/>
                <w:szCs w:val="30"/>
                <w:lang w:eastAsia="zh-CN"/>
              </w:rPr>
              <w:t>全市</w:t>
            </w:r>
            <w:r>
              <w:rPr>
                <w:rFonts w:hint="eastAsia" w:ascii="仿宋" w:hAnsi="仿宋" w:eastAsia="仿宋" w:cs="仿宋"/>
                <w:color w:val="auto"/>
                <w:sz w:val="30"/>
                <w:szCs w:val="30"/>
              </w:rPr>
              <w:t>每年新增“小田变大田”改造</w:t>
            </w:r>
            <w:r>
              <w:rPr>
                <w:rFonts w:hint="eastAsia" w:ascii="仿宋" w:hAnsi="仿宋" w:eastAsia="仿宋" w:cs="仿宋"/>
                <w:color w:val="auto"/>
                <w:sz w:val="30"/>
                <w:szCs w:val="30"/>
                <w:lang w:eastAsia="zh-CN"/>
              </w:rPr>
              <w:t>覆盖</w:t>
            </w:r>
            <w:r>
              <w:rPr>
                <w:rFonts w:hint="eastAsia" w:ascii="仿宋" w:hAnsi="仿宋" w:eastAsia="仿宋" w:cs="仿宋"/>
                <w:color w:val="auto"/>
                <w:sz w:val="30"/>
                <w:szCs w:val="30"/>
              </w:rPr>
              <w:t>面积15万亩以上，到2025年，</w:t>
            </w:r>
            <w:r>
              <w:rPr>
                <w:rFonts w:hint="eastAsia" w:ascii="仿宋" w:hAnsi="仿宋" w:eastAsia="仿宋" w:cs="仿宋"/>
                <w:color w:val="auto"/>
                <w:sz w:val="30"/>
                <w:szCs w:val="30"/>
                <w:lang w:eastAsia="zh-CN"/>
              </w:rPr>
              <w:t>三年</w:t>
            </w:r>
            <w:r>
              <w:rPr>
                <w:rFonts w:hint="eastAsia" w:ascii="仿宋" w:hAnsi="仿宋" w:eastAsia="仿宋" w:cs="仿宋"/>
                <w:color w:val="auto"/>
                <w:sz w:val="30"/>
                <w:szCs w:val="30"/>
              </w:rPr>
              <w:t>累计改造</w:t>
            </w:r>
            <w:r>
              <w:rPr>
                <w:rFonts w:hint="eastAsia" w:ascii="仿宋" w:hAnsi="仿宋" w:eastAsia="仿宋" w:cs="仿宋"/>
                <w:color w:val="auto"/>
                <w:sz w:val="30"/>
                <w:szCs w:val="30"/>
                <w:lang w:eastAsia="zh-CN"/>
              </w:rPr>
              <w:t>覆盖面积</w:t>
            </w:r>
            <w:r>
              <w:rPr>
                <w:rFonts w:hint="eastAsia" w:ascii="仿宋" w:hAnsi="仿宋" w:eastAsia="仿宋" w:cs="仿宋"/>
                <w:color w:val="auto"/>
                <w:sz w:val="30"/>
                <w:szCs w:val="30"/>
              </w:rPr>
              <w:t>45万亩以上，鼓励有条件的地方按照逐乡（镇）推进、逐村整治的方式，开展整村、整乡（镇）乃至整县推进“小田变大田”改造试点，到2025年底，全</w:t>
            </w:r>
            <w:r>
              <w:rPr>
                <w:rFonts w:hint="eastAsia" w:ascii="仿宋" w:hAnsi="仿宋" w:eastAsia="仿宋" w:cs="仿宋"/>
                <w:color w:val="auto"/>
                <w:sz w:val="30"/>
                <w:szCs w:val="30"/>
                <w:lang w:val="en-US" w:eastAsia="zh-CN"/>
              </w:rPr>
              <w:t>市</w:t>
            </w:r>
            <w:r>
              <w:rPr>
                <w:rFonts w:hint="eastAsia" w:ascii="仿宋" w:hAnsi="仿宋" w:eastAsia="仿宋" w:cs="仿宋"/>
                <w:color w:val="auto"/>
                <w:sz w:val="30"/>
                <w:szCs w:val="30"/>
              </w:rPr>
              <w:t>建成一批整村、整乡（镇）“小田变大田”改造示范典型。</w:t>
            </w:r>
          </w:p>
        </w:tc>
      </w:tr>
    </w:tbl>
    <w:p>
      <w:pPr>
        <w:numPr>
          <w:ilvl w:val="0"/>
          <w:numId w:val="0"/>
        </w:numPr>
        <w:bidi w:val="0"/>
        <w:ind w:left="720" w:leftChars="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（二）农田地力提升标准</w:t>
      </w:r>
    </w:p>
    <w:p>
      <w:pPr>
        <w:bidi w:val="0"/>
        <w:rPr>
          <w:rFonts w:hint="eastAsia" w:eastAsia="仿宋"/>
          <w:color w:val="auto"/>
          <w:sz w:val="32"/>
          <w:szCs w:val="32"/>
          <w:lang w:val="en-US" w:eastAsia="zh-CN"/>
        </w:rPr>
      </w:pPr>
      <w:r>
        <w:rPr>
          <w:rFonts w:hint="eastAsia"/>
          <w:color w:val="auto"/>
          <w:sz w:val="32"/>
          <w:szCs w:val="32"/>
        </w:rPr>
        <w:t>据</w:t>
      </w:r>
      <w:r>
        <w:rPr>
          <w:rFonts w:hint="eastAsia"/>
          <w:color w:val="auto"/>
          <w:sz w:val="32"/>
          <w:szCs w:val="32"/>
          <w:lang w:val="en-US" w:eastAsia="zh-CN"/>
        </w:rPr>
        <w:t>专业</w:t>
      </w:r>
      <w:r>
        <w:rPr>
          <w:rFonts w:hint="eastAsia"/>
          <w:color w:val="auto"/>
          <w:sz w:val="32"/>
          <w:szCs w:val="32"/>
        </w:rPr>
        <w:t>统计，全市耕地质量综合平均等级为4.86等；在10个等级中，主要集中在4-6等，占总耕地面积60.11%。高标准农田建设当中，通过种植绿肥、</w:t>
      </w:r>
      <w:r>
        <w:rPr>
          <w:color w:val="auto"/>
          <w:sz w:val="32"/>
          <w:szCs w:val="32"/>
        </w:rPr>
        <w:t>秸秆还田</w:t>
      </w:r>
      <w:r>
        <w:rPr>
          <w:rFonts w:hint="eastAsia"/>
          <w:color w:val="auto"/>
          <w:sz w:val="32"/>
          <w:szCs w:val="32"/>
        </w:rPr>
        <w:t>等措施，提升耕地质量；提升标准</w:t>
      </w:r>
      <w:r>
        <w:rPr>
          <w:rFonts w:hint="eastAsia"/>
          <w:color w:val="auto"/>
          <w:sz w:val="32"/>
          <w:szCs w:val="32"/>
          <w:lang w:eastAsia="zh-CN"/>
        </w:rPr>
        <w:t>，</w:t>
      </w:r>
      <w:r>
        <w:rPr>
          <w:color w:val="auto"/>
          <w:sz w:val="32"/>
          <w:szCs w:val="32"/>
        </w:rPr>
        <w:t>农田耕作层厚度达到20cm以上，旱地有机质达到15g/kg以上，水田有机质达到20g/kg以上，土壤pH值保持在5.5～7.5。</w:t>
      </w:r>
    </w:p>
    <w:p>
      <w:pPr>
        <w:bidi w:val="0"/>
        <w:rPr>
          <w:color w:val="auto"/>
          <w:sz w:val="32"/>
          <w:szCs w:val="32"/>
        </w:rPr>
      </w:pPr>
      <w:r>
        <w:rPr>
          <w:rFonts w:hint="eastAsia"/>
          <w:b/>
          <w:bCs/>
          <w:color w:val="auto"/>
          <w:sz w:val="32"/>
          <w:szCs w:val="32"/>
          <w:lang w:val="en-US" w:eastAsia="zh-CN"/>
        </w:rPr>
        <w:t>1.退化土壤治理。</w:t>
      </w:r>
      <w:r>
        <w:rPr>
          <w:color w:val="auto"/>
          <w:sz w:val="32"/>
          <w:szCs w:val="32"/>
        </w:rPr>
        <w:t>根据土壤退化的原因，采取物理、化学、生物或工程等综合措施治理。酸化土壤治理时，应根据土壤酸化程度，利用石灰质物质、土壤调理剂和有机肥进行改良，改良后土壤pH应保持在5.5以上。</w:t>
      </w:r>
      <w:r>
        <w:rPr>
          <w:rFonts w:hint="eastAsia"/>
          <w:color w:val="auto"/>
          <w:sz w:val="32"/>
          <w:szCs w:val="32"/>
        </w:rPr>
        <w:t>瘠薄土壤培肥时，应</w:t>
      </w:r>
      <w:r>
        <w:rPr>
          <w:color w:val="auto"/>
          <w:sz w:val="32"/>
          <w:szCs w:val="32"/>
        </w:rPr>
        <w:t>通过增施有机肥、秸秆还田、保护性耕作、种植绿肥、适度深耕、施用土壤调理剂、测土配方施肥等措施，</w:t>
      </w:r>
      <w:r>
        <w:rPr>
          <w:rFonts w:hint="eastAsia"/>
          <w:color w:val="auto"/>
          <w:sz w:val="32"/>
          <w:szCs w:val="32"/>
        </w:rPr>
        <w:t>提升土壤保肥、供肥水平；开展盐渍化土壤防治时，重点发展水肥一体化，降低施肥强度，提升水肥利用率</w:t>
      </w:r>
      <w:r>
        <w:rPr>
          <w:rFonts w:hint="eastAsia"/>
          <w:color w:val="auto"/>
          <w:sz w:val="32"/>
          <w:szCs w:val="32"/>
          <w:lang w:eastAsia="zh-CN"/>
        </w:rPr>
        <w:t>，治理潜育化土壤时，要通过完善灌排设施，降低地下水位</w:t>
      </w:r>
      <w:r>
        <w:rPr>
          <w:rFonts w:hint="eastAsia"/>
          <w:color w:val="auto"/>
          <w:sz w:val="32"/>
          <w:szCs w:val="32"/>
        </w:rPr>
        <w:t>。</w:t>
      </w:r>
    </w:p>
    <w:p>
      <w:pPr>
        <w:bidi w:val="0"/>
        <w:rPr>
          <w:rFonts w:hint="eastAsia"/>
          <w:color w:val="auto"/>
          <w:sz w:val="32"/>
          <w:szCs w:val="32"/>
        </w:rPr>
      </w:pPr>
      <w:r>
        <w:rPr>
          <w:rFonts w:hint="eastAsia"/>
          <w:b/>
          <w:bCs/>
          <w:color w:val="auto"/>
          <w:sz w:val="32"/>
          <w:szCs w:val="32"/>
          <w:lang w:val="en-US" w:eastAsia="zh-CN"/>
        </w:rPr>
        <w:t>2.障碍土层改良。</w:t>
      </w:r>
      <w:r>
        <w:rPr>
          <w:color w:val="auto"/>
          <w:sz w:val="32"/>
          <w:szCs w:val="32"/>
        </w:rPr>
        <w:t>障碍土层包括犁底层、黏盘层、</w:t>
      </w:r>
      <w:r>
        <w:rPr>
          <w:rFonts w:hint="eastAsia"/>
          <w:color w:val="auto"/>
          <w:sz w:val="32"/>
          <w:szCs w:val="32"/>
        </w:rPr>
        <w:t>潜育层</w:t>
      </w:r>
      <w:r>
        <w:rPr>
          <w:color w:val="auto"/>
          <w:sz w:val="32"/>
          <w:szCs w:val="32"/>
        </w:rPr>
        <w:t>、盐</w:t>
      </w:r>
      <w:r>
        <w:rPr>
          <w:rFonts w:hint="eastAsia"/>
          <w:color w:val="auto"/>
          <w:sz w:val="32"/>
          <w:szCs w:val="32"/>
        </w:rPr>
        <w:t>积</w:t>
      </w:r>
      <w:r>
        <w:rPr>
          <w:color w:val="auto"/>
          <w:sz w:val="32"/>
          <w:szCs w:val="32"/>
        </w:rPr>
        <w:t>层等类型。障碍土层主要用深耕、深松</w:t>
      </w:r>
      <w:r>
        <w:rPr>
          <w:rFonts w:hint="eastAsia"/>
          <w:color w:val="auto"/>
          <w:sz w:val="32"/>
          <w:szCs w:val="32"/>
        </w:rPr>
        <w:t>、改善灌排条件等</w:t>
      </w:r>
      <w:r>
        <w:rPr>
          <w:color w:val="auto"/>
          <w:sz w:val="32"/>
          <w:szCs w:val="32"/>
        </w:rPr>
        <w:t>方法进行改良，消除其对作物根系生长和水分运行的限制。</w:t>
      </w:r>
    </w:p>
    <w:p>
      <w:pPr>
        <w:bidi w:val="0"/>
        <w:rPr>
          <w:color w:val="auto"/>
          <w:sz w:val="32"/>
          <w:szCs w:val="32"/>
          <w:highlight w:val="none"/>
        </w:rPr>
      </w:pPr>
      <w:r>
        <w:rPr>
          <w:rFonts w:hint="eastAsia"/>
          <w:b/>
          <w:bCs/>
          <w:color w:val="auto"/>
          <w:sz w:val="32"/>
          <w:szCs w:val="32"/>
          <w:lang w:val="en-US" w:eastAsia="zh-CN"/>
        </w:rPr>
        <w:t>3.土壤培肥。</w:t>
      </w:r>
      <w:r>
        <w:rPr>
          <w:color w:val="auto"/>
          <w:sz w:val="32"/>
          <w:szCs w:val="32"/>
        </w:rPr>
        <w:t>建成后的高标准农田应通过施有机肥、深耕深松、秸秆还田、种植绿肥等措施，实现耕地地力保持或持续提高，耕层土壤有机质含量不低于15g/kg，各项养分含量指标达到并保持在全省土壤养分丰缺指标体系中值以上。应根据目标作物产量水平和土壤肥力状况，统筹有机肥和无机肥施用，确定各种肥料施用量和养分配比。测土配方施肥覆盖率</w:t>
      </w:r>
      <w:r>
        <w:rPr>
          <w:color w:val="auto"/>
          <w:sz w:val="32"/>
          <w:szCs w:val="32"/>
          <w:highlight w:val="none"/>
        </w:rPr>
        <w:t>应达到9</w:t>
      </w:r>
      <w:r>
        <w:rPr>
          <w:rFonts w:hint="eastAsia"/>
          <w:color w:val="auto"/>
          <w:sz w:val="32"/>
          <w:szCs w:val="32"/>
          <w:highlight w:val="none"/>
          <w:lang w:val="en-US" w:eastAsia="zh-CN"/>
        </w:rPr>
        <w:t>5</w:t>
      </w:r>
      <w:r>
        <w:rPr>
          <w:color w:val="auto"/>
          <w:sz w:val="32"/>
          <w:szCs w:val="32"/>
          <w:highlight w:val="none"/>
        </w:rPr>
        <w:t>%以上。</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noWrap w:val="0"/>
            <w:vAlign w:val="center"/>
          </w:tcPr>
          <w:p>
            <w:pPr>
              <w:overflowPunct w:val="0"/>
              <w:autoSpaceDE w:val="0"/>
              <w:autoSpaceDN w:val="0"/>
              <w:spacing w:line="400" w:lineRule="exact"/>
              <w:jc w:val="center"/>
              <w:rPr>
                <w:rFonts w:ascii="Times New Roman" w:hAnsi="Times New Roman" w:eastAsia="方正仿宋_GBK"/>
                <w:snapToGrid w:val="0"/>
                <w:color w:val="auto"/>
                <w:kern w:val="0"/>
                <w:sz w:val="30"/>
                <w:szCs w:val="30"/>
              </w:rPr>
            </w:pPr>
            <w:r>
              <w:rPr>
                <w:rFonts w:hint="eastAsia" w:ascii="仿宋" w:hAnsi="仿宋" w:eastAsia="仿宋" w:cs="仿宋"/>
                <w:b/>
                <w:bCs/>
                <w:snapToGrid w:val="0"/>
                <w:color w:val="auto"/>
                <w:sz w:val="30"/>
                <w:szCs w:val="30"/>
              </w:rPr>
              <w:t>专栏2</w:t>
            </w:r>
            <w:r>
              <w:rPr>
                <w:rFonts w:hint="eastAsia" w:ascii="仿宋" w:hAnsi="仿宋" w:cs="仿宋"/>
                <w:b/>
                <w:bCs/>
                <w:snapToGrid w:val="0"/>
                <w:color w:val="auto"/>
                <w:sz w:val="30"/>
                <w:szCs w:val="30"/>
                <w:lang w:val="en-US" w:eastAsia="zh-CN"/>
              </w:rPr>
              <w:t xml:space="preserve"> </w:t>
            </w:r>
            <w:r>
              <w:rPr>
                <w:rFonts w:hint="eastAsia" w:ascii="仿宋" w:hAnsi="仿宋" w:eastAsia="仿宋" w:cs="仿宋"/>
                <w:b/>
                <w:bCs/>
                <w:snapToGrid w:val="0"/>
                <w:color w:val="auto"/>
                <w:sz w:val="30"/>
                <w:szCs w:val="30"/>
              </w:rPr>
              <w:t>土壤酸化治理示范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7"/>
              <w:keepNext w:val="0"/>
              <w:keepLines w:val="0"/>
              <w:pageBreakBefore w:val="0"/>
              <w:widowControl w:val="0"/>
              <w:kinsoku w:val="0"/>
              <w:wordWrap/>
              <w:overflowPunct w:val="0"/>
              <w:topLinePunct w:val="0"/>
              <w:autoSpaceDE/>
              <w:autoSpaceDN/>
              <w:bidi w:val="0"/>
              <w:adjustRightInd/>
              <w:snapToGrid/>
              <w:spacing w:beforeLines="0" w:afterLines="0" w:line="400" w:lineRule="exact"/>
              <w:ind w:left="0" w:firstLine="480"/>
              <w:textAlignment w:val="auto"/>
              <w:rPr>
                <w:rFonts w:hint="eastAsia" w:ascii="仿宋" w:hAnsi="仿宋" w:eastAsia="仿宋" w:cs="仿宋"/>
                <w:color w:val="auto"/>
                <w:spacing w:val="2"/>
                <w:sz w:val="30"/>
                <w:szCs w:val="30"/>
              </w:rPr>
            </w:pPr>
            <w:r>
              <w:rPr>
                <w:rFonts w:hint="default" w:ascii="仿宋" w:hAnsi="仿宋" w:eastAsia="仿宋" w:cs="仿宋"/>
                <w:color w:val="auto"/>
                <w:spacing w:val="2"/>
                <w:sz w:val="30"/>
                <w:szCs w:val="30"/>
              </w:rPr>
              <w:t>1</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rPr>
              <w:t>土壤地力提升：化肥施用量逐年减量。每年建设达到规定数量的耕地质量监测网络，推广有机肥、测土配方施肥、绿肥种植及秸杆还田等措施。</w:t>
            </w:r>
          </w:p>
          <w:p>
            <w:pPr>
              <w:pStyle w:val="7"/>
              <w:keepNext w:val="0"/>
              <w:keepLines w:val="0"/>
              <w:pageBreakBefore w:val="0"/>
              <w:widowControl w:val="0"/>
              <w:kinsoku w:val="0"/>
              <w:wordWrap/>
              <w:overflowPunct w:val="0"/>
              <w:topLinePunct w:val="0"/>
              <w:autoSpaceDE/>
              <w:autoSpaceDN/>
              <w:bidi w:val="0"/>
              <w:adjustRightInd/>
              <w:snapToGrid/>
              <w:spacing w:beforeLines="0" w:afterLines="0" w:line="400" w:lineRule="exact"/>
              <w:ind w:left="0" w:firstLine="480"/>
              <w:textAlignment w:val="auto"/>
              <w:rPr>
                <w:rFonts w:ascii="Times New Roman" w:hAnsi="Times New Roman" w:eastAsia="方正仿宋_GBK"/>
                <w:color w:val="auto"/>
                <w:kern w:val="0"/>
                <w:sz w:val="30"/>
                <w:szCs w:val="30"/>
              </w:rPr>
            </w:pPr>
            <w:r>
              <w:rPr>
                <w:rFonts w:hint="default" w:ascii="仿宋" w:hAnsi="仿宋" w:eastAsia="仿宋" w:cs="仿宋"/>
                <w:color w:val="auto"/>
                <w:spacing w:val="2"/>
                <w:sz w:val="30"/>
                <w:szCs w:val="30"/>
              </w:rPr>
              <w:t>2</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rPr>
              <w:t>土壤酸化治理：选取</w:t>
            </w:r>
            <w:r>
              <w:rPr>
                <w:rFonts w:hint="default" w:ascii="仿宋" w:hAnsi="仿宋" w:eastAsia="仿宋" w:cs="仿宋"/>
                <w:color w:val="auto"/>
                <w:spacing w:val="2"/>
                <w:sz w:val="30"/>
                <w:szCs w:val="30"/>
              </w:rPr>
              <w:t>pH5.5</w:t>
            </w:r>
            <w:r>
              <w:rPr>
                <w:rFonts w:hint="eastAsia" w:ascii="仿宋" w:hAnsi="仿宋" w:eastAsia="仿宋" w:cs="仿宋"/>
                <w:color w:val="auto"/>
                <w:spacing w:val="2"/>
                <w:sz w:val="30"/>
                <w:szCs w:val="30"/>
              </w:rPr>
              <w:t>以下酸性土壤农田，建设酸化土壤治理示范田。依据《石灰质改良酸性土壤技术规范》，合理施用农用石灰质物质等酸性土壤调理剂，快速提升土壤</w:t>
            </w:r>
            <w:r>
              <w:rPr>
                <w:rFonts w:hint="default" w:ascii="仿宋" w:hAnsi="仿宋" w:eastAsia="仿宋" w:cs="仿宋"/>
                <w:color w:val="auto"/>
                <w:spacing w:val="2"/>
                <w:sz w:val="30"/>
                <w:szCs w:val="30"/>
              </w:rPr>
              <w:t>pH</w:t>
            </w:r>
            <w:r>
              <w:rPr>
                <w:rFonts w:hint="eastAsia" w:ascii="仿宋" w:hAnsi="仿宋" w:eastAsia="仿宋" w:cs="仿宋"/>
                <w:color w:val="auto"/>
                <w:spacing w:val="2"/>
                <w:sz w:val="30"/>
                <w:szCs w:val="30"/>
              </w:rPr>
              <w:t>。实施秸杆粉碎还田或覆盖还田，种植绿肥还田，施用有机肥，配合改良培肥土壤。</w:t>
            </w:r>
          </w:p>
        </w:tc>
      </w:tr>
    </w:tbl>
    <w:p>
      <w:pPr>
        <w:numPr>
          <w:ilvl w:val="0"/>
          <w:numId w:val="0"/>
        </w:numPr>
        <w:bidi w:val="0"/>
        <w:ind w:left="720" w:leftChars="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（三）灌溉和排水标准</w:t>
      </w:r>
    </w:p>
    <w:p>
      <w:pPr>
        <w:bidi w:val="0"/>
        <w:rPr>
          <w:color w:val="auto"/>
          <w:sz w:val="32"/>
          <w:szCs w:val="32"/>
        </w:rPr>
      </w:pPr>
      <w:r>
        <w:rPr>
          <w:rFonts w:hint="eastAsia"/>
          <w:b/>
          <w:bCs/>
          <w:color w:val="auto"/>
          <w:sz w:val="32"/>
          <w:szCs w:val="32"/>
          <w:lang w:val="en-US" w:eastAsia="zh-CN"/>
        </w:rPr>
        <w:t>1.灌排工程设计参数。</w:t>
      </w:r>
      <w:r>
        <w:rPr>
          <w:color w:val="auto"/>
          <w:sz w:val="32"/>
          <w:szCs w:val="32"/>
        </w:rPr>
        <w:t>水稻区灌溉保证率</w:t>
      </w:r>
      <w:r>
        <w:rPr>
          <w:rFonts w:hint="default" w:ascii="Arial" w:hAnsi="Arial" w:cs="Arial"/>
          <w:color w:val="auto"/>
          <w:sz w:val="32"/>
          <w:szCs w:val="32"/>
        </w:rPr>
        <w:t>≥</w:t>
      </w:r>
      <w:r>
        <w:rPr>
          <w:rFonts w:hint="eastAsia"/>
          <w:color w:val="auto"/>
          <w:sz w:val="32"/>
          <w:szCs w:val="32"/>
          <w:lang w:val="en-US" w:eastAsia="zh-CN"/>
        </w:rPr>
        <w:t>90</w:t>
      </w:r>
      <w:r>
        <w:rPr>
          <w:color w:val="auto"/>
          <w:sz w:val="32"/>
          <w:szCs w:val="32"/>
        </w:rPr>
        <w:t>%。</w:t>
      </w:r>
    </w:p>
    <w:p>
      <w:pPr>
        <w:bidi w:val="0"/>
        <w:rPr>
          <w:color w:val="auto"/>
          <w:sz w:val="32"/>
          <w:szCs w:val="32"/>
        </w:rPr>
      </w:pPr>
      <w:r>
        <w:rPr>
          <w:color w:val="auto"/>
          <w:sz w:val="32"/>
          <w:szCs w:val="32"/>
        </w:rPr>
        <w:t>农田排涝标准，旱</w:t>
      </w:r>
      <w:r>
        <w:rPr>
          <w:rFonts w:hint="eastAsia"/>
          <w:color w:val="auto"/>
          <w:sz w:val="32"/>
          <w:szCs w:val="32"/>
          <w:lang w:eastAsia="zh-CN"/>
        </w:rPr>
        <w:t>作物</w:t>
      </w:r>
      <w:r>
        <w:rPr>
          <w:color w:val="auto"/>
          <w:sz w:val="32"/>
          <w:szCs w:val="32"/>
        </w:rPr>
        <w:t>暴雨重现期宜采用10年～</w:t>
      </w:r>
      <w:r>
        <w:rPr>
          <w:rFonts w:hint="eastAsia"/>
          <w:color w:val="auto"/>
          <w:sz w:val="32"/>
          <w:szCs w:val="32"/>
          <w:lang w:val="en-US" w:eastAsia="zh-CN"/>
        </w:rPr>
        <w:t>5年</w:t>
      </w:r>
      <w:r>
        <w:rPr>
          <w:color w:val="auto"/>
          <w:sz w:val="32"/>
          <w:szCs w:val="32"/>
        </w:rPr>
        <w:t>一遇，1d～3d暴雨</w:t>
      </w:r>
      <w:r>
        <w:rPr>
          <w:rFonts w:hint="eastAsia"/>
          <w:color w:val="auto"/>
          <w:sz w:val="32"/>
          <w:szCs w:val="32"/>
          <w:lang w:eastAsia="zh-CN"/>
        </w:rPr>
        <w:t>从作物受淹起</w:t>
      </w:r>
      <w:r>
        <w:rPr>
          <w:color w:val="auto"/>
          <w:sz w:val="32"/>
          <w:szCs w:val="32"/>
        </w:rPr>
        <w:t>1～3d排至田面无积水</w:t>
      </w:r>
      <w:r>
        <w:rPr>
          <w:rFonts w:hint="eastAsia"/>
          <w:color w:val="auto"/>
          <w:sz w:val="32"/>
          <w:szCs w:val="32"/>
          <w:lang w:eastAsia="zh-CN"/>
        </w:rPr>
        <w:t>；</w:t>
      </w:r>
      <w:r>
        <w:rPr>
          <w:color w:val="auto"/>
          <w:sz w:val="32"/>
          <w:szCs w:val="32"/>
        </w:rPr>
        <w:t>水田暴雨重现期宜采用10年一遇，1d～3d暴雨3d～5d排至作物耐淹水深。</w:t>
      </w:r>
    </w:p>
    <w:p>
      <w:pPr>
        <w:bidi w:val="0"/>
        <w:rPr>
          <w:rFonts w:hint="eastAsia" w:eastAsia="仿宋"/>
          <w:strike w:val="0"/>
          <w:dstrike w:val="0"/>
          <w:color w:val="auto"/>
          <w:sz w:val="32"/>
          <w:szCs w:val="32"/>
          <w:highlight w:val="none"/>
          <w:lang w:val="en-US" w:eastAsia="zh-CN"/>
        </w:rPr>
      </w:pPr>
      <w:r>
        <w:rPr>
          <w:strike w:val="0"/>
          <w:dstrike w:val="0"/>
          <w:color w:val="auto"/>
          <w:sz w:val="32"/>
          <w:szCs w:val="32"/>
          <w:highlight w:val="none"/>
        </w:rPr>
        <w:t>农田排渍标准，旱作区在渍害敏感期间可采用3～4d内将地下水埋深降至田面以下0.4～0.6m；稻作区在晒田期3～5d内降至田面以下0.4～0.6m。</w:t>
      </w:r>
    </w:p>
    <w:p>
      <w:pPr>
        <w:bidi w:val="0"/>
        <w:rPr>
          <w:color w:val="auto"/>
          <w:sz w:val="32"/>
          <w:szCs w:val="32"/>
        </w:rPr>
      </w:pPr>
      <w:r>
        <w:rPr>
          <w:rFonts w:hint="eastAsia"/>
          <w:b/>
          <w:bCs/>
          <w:color w:val="auto"/>
          <w:sz w:val="32"/>
          <w:szCs w:val="32"/>
          <w:lang w:val="en-US" w:eastAsia="zh-CN"/>
        </w:rPr>
        <w:t>2.水源工程建设标准。</w:t>
      </w:r>
      <w:r>
        <w:rPr>
          <w:color w:val="auto"/>
          <w:sz w:val="32"/>
          <w:szCs w:val="32"/>
        </w:rPr>
        <w:t>水源利用应以地表水为主，地下水为辅，严格控制开采深层地下水。塘堰（坝）容量</w:t>
      </w:r>
      <w:r>
        <w:rPr>
          <w:rFonts w:cs="Times New Roman"/>
          <w:color w:val="auto"/>
          <w:sz w:val="32"/>
          <w:szCs w:val="32"/>
        </w:rPr>
        <w:t>应小于1</w:t>
      </w:r>
      <w:r>
        <w:rPr>
          <w:rFonts w:hint="eastAsia" w:cs="Times New Roman"/>
          <w:color w:val="auto"/>
          <w:sz w:val="32"/>
          <w:szCs w:val="32"/>
          <w:lang w:val="en-US" w:eastAsia="zh-CN"/>
        </w:rPr>
        <w:t>0</w:t>
      </w:r>
      <w:r>
        <w:rPr>
          <w:rFonts w:cs="Times New Roman"/>
          <w:color w:val="auto"/>
          <w:sz w:val="32"/>
          <w:szCs w:val="32"/>
        </w:rPr>
        <w:t>0000m</w:t>
      </w:r>
      <w:r>
        <w:rPr>
          <w:rFonts w:cs="Times New Roman"/>
          <w:color w:val="auto"/>
          <w:sz w:val="32"/>
          <w:szCs w:val="32"/>
          <w:vertAlign w:val="superscript"/>
        </w:rPr>
        <w:t>3</w:t>
      </w:r>
      <w:r>
        <w:rPr>
          <w:rFonts w:cs="Times New Roman"/>
          <w:color w:val="auto"/>
          <w:sz w:val="32"/>
          <w:szCs w:val="32"/>
        </w:rPr>
        <w:t>，挡水、泄水和放水建筑物等应配套齐全</w:t>
      </w:r>
      <w:r>
        <w:rPr>
          <w:rFonts w:hint="eastAsia" w:cs="Times New Roman"/>
          <w:color w:val="auto"/>
          <w:sz w:val="32"/>
          <w:szCs w:val="32"/>
          <w:lang w:eastAsia="zh-CN"/>
        </w:rPr>
        <w:t>。</w:t>
      </w:r>
      <w:r>
        <w:rPr>
          <w:rFonts w:hint="eastAsia" w:cs="Times New Roman"/>
          <w:color w:val="auto"/>
          <w:sz w:val="32"/>
          <w:szCs w:val="32"/>
        </w:rPr>
        <w:t>蓄水池容量应控制在</w:t>
      </w:r>
      <w:r>
        <w:rPr>
          <w:rFonts w:hint="eastAsia" w:cs="Times New Roman"/>
          <w:color w:val="auto"/>
          <w:sz w:val="32"/>
          <w:szCs w:val="32"/>
          <w:lang w:val="en-US" w:eastAsia="zh-CN"/>
        </w:rPr>
        <w:t>10</w:t>
      </w:r>
      <w:r>
        <w:rPr>
          <w:rFonts w:cs="Times New Roman"/>
          <w:color w:val="auto"/>
          <w:sz w:val="32"/>
          <w:szCs w:val="32"/>
        </w:rPr>
        <w:t>000m</w:t>
      </w:r>
      <w:r>
        <w:rPr>
          <w:rFonts w:cs="Times New Roman"/>
          <w:color w:val="auto"/>
          <w:sz w:val="32"/>
          <w:szCs w:val="32"/>
          <w:vertAlign w:val="superscript"/>
        </w:rPr>
        <w:t>3</w:t>
      </w:r>
      <w:r>
        <w:rPr>
          <w:rFonts w:cs="Times New Roman"/>
          <w:color w:val="auto"/>
          <w:sz w:val="32"/>
          <w:szCs w:val="32"/>
        </w:rPr>
        <w:t>以下</w:t>
      </w:r>
      <w:r>
        <w:rPr>
          <w:rFonts w:hint="eastAsia" w:cs="Times New Roman"/>
          <w:color w:val="auto"/>
          <w:sz w:val="32"/>
          <w:szCs w:val="32"/>
          <w:lang w:eastAsia="zh-CN"/>
        </w:rPr>
        <w:t>，</w:t>
      </w:r>
      <w:r>
        <w:rPr>
          <w:rFonts w:cs="Times New Roman"/>
          <w:color w:val="auto"/>
          <w:sz w:val="32"/>
          <w:szCs w:val="32"/>
        </w:rPr>
        <w:t>并在醒目位置设置安全警示标识。支渠（</w:t>
      </w:r>
      <w:r>
        <w:rPr>
          <w:color w:val="auto"/>
          <w:sz w:val="32"/>
          <w:szCs w:val="32"/>
        </w:rPr>
        <w:t>含）以下引水和提水泵站的设计流量应根据设计灌溉保证率、设计灌水率、灌溉面积、灌溉水利用系数及灌区内调蓄容积等综合分析计算确定，宜控制在1.0</w:t>
      </w:r>
      <w:r>
        <w:rPr>
          <w:rFonts w:cs="Times New Roman"/>
          <w:color w:val="auto"/>
          <w:sz w:val="32"/>
          <w:szCs w:val="32"/>
        </w:rPr>
        <w:t>m</w:t>
      </w:r>
      <w:r>
        <w:rPr>
          <w:rFonts w:cs="Times New Roman"/>
          <w:color w:val="auto"/>
          <w:sz w:val="32"/>
          <w:szCs w:val="32"/>
          <w:vertAlign w:val="superscript"/>
        </w:rPr>
        <w:t>3</w:t>
      </w:r>
      <w:r>
        <w:rPr>
          <w:color w:val="auto"/>
          <w:sz w:val="32"/>
          <w:szCs w:val="32"/>
        </w:rPr>
        <w:t>/s以下。</w:t>
      </w:r>
      <w:r>
        <w:rPr>
          <w:rFonts w:hint="eastAsia"/>
          <w:color w:val="auto"/>
          <w:sz w:val="32"/>
          <w:szCs w:val="32"/>
          <w:lang w:eastAsia="zh-CN"/>
        </w:rPr>
        <w:t>灌排用的</w:t>
      </w:r>
      <w:r>
        <w:rPr>
          <w:color w:val="auto"/>
          <w:sz w:val="32"/>
          <w:szCs w:val="32"/>
        </w:rPr>
        <w:t>泵</w:t>
      </w:r>
      <w:r>
        <w:rPr>
          <w:rFonts w:hint="eastAsia"/>
          <w:color w:val="auto"/>
          <w:sz w:val="32"/>
          <w:szCs w:val="32"/>
          <w:lang w:eastAsia="zh-CN"/>
        </w:rPr>
        <w:t>站</w:t>
      </w:r>
      <w:r>
        <w:rPr>
          <w:color w:val="auto"/>
          <w:sz w:val="32"/>
          <w:szCs w:val="32"/>
        </w:rPr>
        <w:t>、动力输变电设备和</w:t>
      </w:r>
      <w:r>
        <w:rPr>
          <w:rFonts w:hint="eastAsia"/>
          <w:color w:val="auto"/>
          <w:sz w:val="32"/>
          <w:szCs w:val="32"/>
          <w:lang w:eastAsia="zh-CN"/>
        </w:rPr>
        <w:t>泵站房</w:t>
      </w:r>
      <w:r>
        <w:rPr>
          <w:color w:val="auto"/>
          <w:sz w:val="32"/>
          <w:szCs w:val="32"/>
        </w:rPr>
        <w:t>等配套率应达到100%。机井设计应根据水文地质条件和地下水资源利用规划，按照合理开发、采补平衡的原则，经技术经济比较确定地下水的开采规模和主要设计参数。</w:t>
      </w:r>
    </w:p>
    <w:p>
      <w:pPr>
        <w:bidi w:val="0"/>
        <w:rPr>
          <w:color w:val="auto"/>
          <w:sz w:val="32"/>
          <w:szCs w:val="32"/>
        </w:rPr>
      </w:pPr>
      <w:r>
        <w:rPr>
          <w:rFonts w:hint="eastAsia"/>
          <w:b/>
          <w:bCs/>
          <w:color w:val="auto"/>
          <w:sz w:val="32"/>
          <w:szCs w:val="32"/>
          <w:lang w:val="en-US" w:eastAsia="zh-CN"/>
        </w:rPr>
        <w:t>3.渠（沟）道工程建设标准。</w:t>
      </w:r>
      <w:r>
        <w:rPr>
          <w:color w:val="auto"/>
          <w:sz w:val="32"/>
          <w:szCs w:val="32"/>
        </w:rPr>
        <w:t>在固定输水渠道上的分水、控水、量水、衔接和交叉等建筑物应配套齐全。</w:t>
      </w:r>
      <w:r>
        <w:rPr>
          <w:rFonts w:hint="eastAsia"/>
          <w:color w:val="auto"/>
          <w:sz w:val="32"/>
          <w:szCs w:val="32"/>
          <w:lang w:eastAsia="zh-CN"/>
        </w:rPr>
        <w:t>圩区</w:t>
      </w:r>
      <w:r>
        <w:rPr>
          <w:color w:val="auto"/>
          <w:sz w:val="32"/>
          <w:szCs w:val="32"/>
        </w:rPr>
        <w:t>斗渠（沟）以下各级渠（沟）宜相互垂直，斗渠（沟）长度宜为1000～3000m，间距应与农渠（沟）长度相适宜；农渠（沟）长度、间距应与条田的长度、宽度相适宜。斗渠和农渠等固定渠道宜进行防渗处理。</w:t>
      </w:r>
      <w:r>
        <w:rPr>
          <w:rFonts w:hint="eastAsia"/>
          <w:color w:val="auto"/>
          <w:sz w:val="32"/>
          <w:szCs w:val="32"/>
          <w:lang w:eastAsia="zh-CN"/>
        </w:rPr>
        <w:t>个别</w:t>
      </w:r>
      <w:r>
        <w:rPr>
          <w:color w:val="auto"/>
          <w:sz w:val="32"/>
          <w:szCs w:val="32"/>
        </w:rPr>
        <w:t>井灌区采用明渠输水的，渠（沟）设置可参照执行。井灌区应尽量采用管道输水灌溉，采用渠道输水的，渠道应全部进行防渗处理。排水</w:t>
      </w:r>
      <w:r>
        <w:rPr>
          <w:rFonts w:hint="eastAsia"/>
          <w:color w:val="auto"/>
          <w:sz w:val="32"/>
          <w:szCs w:val="32"/>
          <w:lang w:eastAsia="zh-CN"/>
        </w:rPr>
        <w:t>沟</w:t>
      </w:r>
      <w:r>
        <w:rPr>
          <w:color w:val="auto"/>
          <w:sz w:val="32"/>
          <w:szCs w:val="32"/>
        </w:rPr>
        <w:t>可采取生态型结构，减少对生态环境的影响。采用管道输水灌溉的，灌溉设计保证率不低于80%。管道系统应结合地形、水源位置、田块形状及沟、路走向优化布置。支管上布置出水口，单个出水口的出水量应通过控制灌溉的格田面积、作物类型、灌水定额计算确定。各用水单位应独立配水。管道系统宜采用干管续灌、支管轮灌的工作制度。规模不大的管道系统可采用续灌办法。</w:t>
      </w:r>
    </w:p>
    <w:p>
      <w:pPr>
        <w:bidi w:val="0"/>
        <w:rPr>
          <w:color w:val="auto"/>
          <w:sz w:val="32"/>
          <w:szCs w:val="32"/>
        </w:rPr>
      </w:pPr>
      <w:r>
        <w:rPr>
          <w:rFonts w:hint="eastAsia"/>
          <w:b/>
          <w:bCs/>
          <w:color w:val="auto"/>
          <w:sz w:val="32"/>
          <w:szCs w:val="32"/>
          <w:lang w:val="en-US" w:eastAsia="zh-CN"/>
        </w:rPr>
        <w:t>4.渠（沟）系建筑物建设标准。</w:t>
      </w:r>
      <w:r>
        <w:rPr>
          <w:color w:val="auto"/>
          <w:sz w:val="32"/>
          <w:szCs w:val="32"/>
        </w:rPr>
        <w:t>建筑物应配套完整，实现引水有门、分水有闸、过路有桥（涵），管理方便，运行良好。还应满足灌溉与排水系统水位、流量、泥沙处理、施工、运行、管理的要求，满足生产的需要，其使用年限应与灌溉与排水系统主体工程相一致。农桥应采用标准化跨径，桥长应与所跨沟渠宽度相适应，单跨不宜超过10m。桥宽宜与所连接道路的宽度相适应，不宜超过6m。在灌溉渠道轮灌组分界处应设节制闸；在分水渠道的进口处宜设置分水闸；从水源引水进入渠道时，宜设置进水闸控制入渠流量。跌水和陡坡应采用砌石、混凝土等抗冲耐磨材料建造。高效节水、水价综合改革试点灌区在渠道的引水、分水、泄水、退水及排水沟末端处应根据需要设置量水堰、量水槽等量水设施，井灌区应根据需要设置管道式量水仪表。</w:t>
      </w:r>
    </w:p>
    <w:p>
      <w:pPr>
        <w:bidi w:val="0"/>
        <w:rPr>
          <w:color w:val="auto"/>
        </w:rPr>
      </w:pPr>
      <w:r>
        <w:rPr>
          <w:rFonts w:hint="eastAsia"/>
          <w:b/>
          <w:bCs/>
          <w:color w:val="auto"/>
          <w:sz w:val="32"/>
          <w:szCs w:val="32"/>
          <w:lang w:val="en-US" w:eastAsia="zh-CN"/>
        </w:rPr>
        <w:t>5.田间灌溉工程建设标准。</w:t>
      </w:r>
      <w:r>
        <w:rPr>
          <w:color w:val="auto"/>
          <w:sz w:val="32"/>
          <w:szCs w:val="32"/>
        </w:rPr>
        <w:t>喷灌工程的建设应满足GB/T50085的规定。</w:t>
      </w:r>
      <w:bookmarkStart w:id="61" w:name="_Toc37833867"/>
      <w:r>
        <w:rPr>
          <w:color w:val="auto"/>
          <w:sz w:val="32"/>
          <w:szCs w:val="32"/>
        </w:rPr>
        <w:t>微喷、滴灌和小管出流（或涌泉灌）等形式的微灌工程建设，应满足GB/T50485的规定。水稻智能高效节水灌溉工程建设保证微闸进水口与田面持平，安装牢固，外壳防锈蚀，光伏板与阳光照射线保持垂直，智能调控保证现场调控和远程调控切换自如，灌溉排水一体化，无漏灌漏排。</w:t>
      </w:r>
    </w:p>
    <w:bookmarkEnd w:id="61"/>
    <w:p>
      <w:pPr>
        <w:bidi w:val="0"/>
        <w:rPr>
          <w:color w:val="auto"/>
          <w:sz w:val="32"/>
          <w:szCs w:val="32"/>
        </w:rPr>
      </w:pPr>
      <w:r>
        <w:rPr>
          <w:rFonts w:hint="eastAsia"/>
          <w:b/>
          <w:bCs/>
          <w:color w:val="auto"/>
          <w:sz w:val="32"/>
          <w:szCs w:val="32"/>
          <w:lang w:val="en-US" w:eastAsia="zh-CN"/>
        </w:rPr>
        <w:t>6.田间排水工程建设标准。</w:t>
      </w:r>
      <w:r>
        <w:rPr>
          <w:color w:val="auto"/>
          <w:sz w:val="32"/>
          <w:szCs w:val="32"/>
        </w:rPr>
        <w:t>有排涝或排渍任务要求，在无塌坡或塌坡易于处理地区或地段，宜采用明沟排水；排渍采用明沟降低地下水位</w:t>
      </w:r>
      <w:r>
        <w:rPr>
          <w:strike w:val="0"/>
          <w:dstrike w:val="0"/>
          <w:color w:val="auto"/>
          <w:sz w:val="32"/>
          <w:szCs w:val="32"/>
        </w:rPr>
        <w:t>，</w:t>
      </w:r>
      <w:r>
        <w:rPr>
          <w:color w:val="auto"/>
          <w:sz w:val="32"/>
          <w:szCs w:val="32"/>
        </w:rPr>
        <w:t>不易达到设计控制深度，或者明沟断面结构不稳定、塌坡不易处理时，宜采用暗管排水；当采用明沟或暗管降低地下水位，不易达到设计控制深度时且含水层的水质和出水条件较好的地区可采用井排。田间衬砌排水沟工程质量保证年限应不小于15年。排涝农沟采用排灌结合的末级固定排灌沟、截流沟和防洪沟，可采用砖、石、混凝土等结构衬砌，长度宜在200～1000m之间。斗沟长度宜为800～2000m，间距宜为200～1000m，山地丘陵区防洪斗沟、农沟的长度可适当缩短，因地制宜，斗沟的间距应与农沟的长度相适应，宜为200～1000m。</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noWrap w:val="0"/>
            <w:vAlign w:val="center"/>
          </w:tcPr>
          <w:p>
            <w:pPr>
              <w:overflowPunct w:val="0"/>
              <w:autoSpaceDE w:val="0"/>
              <w:autoSpaceDN w:val="0"/>
              <w:spacing w:line="400" w:lineRule="exact"/>
              <w:ind w:left="0" w:leftChars="0" w:firstLine="0" w:firstLineChars="0"/>
              <w:jc w:val="center"/>
              <w:rPr>
                <w:rFonts w:ascii="Times New Roman" w:hAnsi="Times New Roman" w:eastAsia="方正仿宋_GBK"/>
                <w:snapToGrid w:val="0"/>
                <w:color w:val="auto"/>
                <w:kern w:val="0"/>
                <w:sz w:val="30"/>
                <w:szCs w:val="30"/>
              </w:rPr>
            </w:pPr>
            <w:r>
              <w:rPr>
                <w:rFonts w:hint="eastAsia" w:ascii="仿宋" w:hAnsi="仿宋" w:eastAsia="仿宋" w:cs="仿宋"/>
                <w:b/>
                <w:bCs/>
                <w:snapToGrid w:val="0"/>
                <w:color w:val="auto"/>
                <w:sz w:val="30"/>
                <w:szCs w:val="30"/>
              </w:rPr>
              <w:t>专栏3</w:t>
            </w:r>
            <w:r>
              <w:rPr>
                <w:rFonts w:hint="eastAsia" w:ascii="仿宋" w:hAnsi="仿宋" w:cs="仿宋"/>
                <w:b/>
                <w:bCs/>
                <w:snapToGrid w:val="0"/>
                <w:color w:val="auto"/>
                <w:sz w:val="30"/>
                <w:szCs w:val="30"/>
                <w:lang w:val="en-US" w:eastAsia="zh-CN"/>
              </w:rPr>
              <w:t xml:space="preserve"> </w:t>
            </w:r>
            <w:r>
              <w:rPr>
                <w:rFonts w:hint="eastAsia" w:ascii="仿宋" w:hAnsi="仿宋" w:eastAsia="仿宋" w:cs="仿宋"/>
                <w:b/>
                <w:bCs/>
                <w:snapToGrid w:val="0"/>
                <w:color w:val="auto"/>
                <w:sz w:val="30"/>
                <w:szCs w:val="30"/>
              </w:rPr>
              <w:t>高效节水灌溉示范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7"/>
              <w:keepNext w:val="0"/>
              <w:keepLines w:val="0"/>
              <w:pageBreakBefore w:val="0"/>
              <w:widowControl w:val="0"/>
              <w:kinsoku w:val="0"/>
              <w:wordWrap/>
              <w:overflowPunct w:val="0"/>
              <w:topLinePunct w:val="0"/>
              <w:autoSpaceDE/>
              <w:autoSpaceDN/>
              <w:bidi w:val="0"/>
              <w:adjustRightInd/>
              <w:snapToGrid/>
              <w:spacing w:beforeLines="0" w:afterLines="0" w:line="400" w:lineRule="exact"/>
              <w:ind w:left="0" w:firstLine="480"/>
              <w:textAlignment w:val="auto"/>
              <w:rPr>
                <w:rFonts w:ascii="Times New Roman" w:hAnsi="Times New Roman" w:eastAsia="方正仿宋_GBK"/>
                <w:color w:val="auto"/>
                <w:kern w:val="0"/>
                <w:sz w:val="30"/>
                <w:szCs w:val="30"/>
              </w:rPr>
            </w:pPr>
            <w:r>
              <w:rPr>
                <w:rFonts w:hint="eastAsia" w:ascii="仿宋" w:hAnsi="仿宋" w:eastAsia="仿宋" w:cs="仿宋"/>
                <w:color w:val="auto"/>
                <w:spacing w:val="7"/>
                <w:sz w:val="30"/>
                <w:szCs w:val="30"/>
              </w:rPr>
              <w:t>为</w:t>
            </w:r>
            <w:r>
              <w:rPr>
                <w:rFonts w:hint="eastAsia" w:ascii="仿宋" w:hAnsi="仿宋" w:eastAsia="仿宋" w:cs="仿宋"/>
                <w:color w:val="auto"/>
                <w:spacing w:val="9"/>
                <w:sz w:val="30"/>
                <w:szCs w:val="30"/>
              </w:rPr>
              <w:t>提</w:t>
            </w:r>
            <w:r>
              <w:rPr>
                <w:rFonts w:hint="eastAsia" w:ascii="仿宋" w:hAnsi="仿宋" w:eastAsia="仿宋" w:cs="仿宋"/>
                <w:color w:val="auto"/>
                <w:spacing w:val="7"/>
                <w:sz w:val="30"/>
                <w:szCs w:val="30"/>
              </w:rPr>
              <w:t>高</w:t>
            </w:r>
            <w:r>
              <w:rPr>
                <w:rFonts w:hint="eastAsia" w:ascii="仿宋" w:hAnsi="仿宋" w:eastAsia="仿宋" w:cs="仿宋"/>
                <w:color w:val="auto"/>
                <w:spacing w:val="9"/>
                <w:sz w:val="30"/>
                <w:szCs w:val="30"/>
              </w:rPr>
              <w:t>农</w:t>
            </w:r>
            <w:r>
              <w:rPr>
                <w:rFonts w:hint="eastAsia" w:ascii="仿宋" w:hAnsi="仿宋" w:eastAsia="仿宋" w:cs="仿宋"/>
                <w:color w:val="auto"/>
                <w:spacing w:val="7"/>
                <w:sz w:val="30"/>
                <w:szCs w:val="30"/>
              </w:rPr>
              <w:t>业灌</w:t>
            </w:r>
            <w:r>
              <w:rPr>
                <w:rFonts w:hint="eastAsia" w:ascii="仿宋" w:hAnsi="仿宋" w:eastAsia="仿宋" w:cs="仿宋"/>
                <w:color w:val="auto"/>
                <w:spacing w:val="9"/>
                <w:sz w:val="30"/>
                <w:szCs w:val="30"/>
              </w:rPr>
              <w:t>溉</w:t>
            </w:r>
            <w:r>
              <w:rPr>
                <w:rFonts w:hint="eastAsia" w:ascii="仿宋" w:hAnsi="仿宋" w:eastAsia="仿宋" w:cs="仿宋"/>
                <w:color w:val="auto"/>
                <w:spacing w:val="7"/>
                <w:sz w:val="30"/>
                <w:szCs w:val="30"/>
              </w:rPr>
              <w:t>用</w:t>
            </w:r>
            <w:r>
              <w:rPr>
                <w:rFonts w:hint="eastAsia" w:ascii="仿宋" w:hAnsi="仿宋" w:eastAsia="仿宋" w:cs="仿宋"/>
                <w:color w:val="auto"/>
                <w:spacing w:val="9"/>
                <w:sz w:val="30"/>
                <w:szCs w:val="30"/>
              </w:rPr>
              <w:t>水</w:t>
            </w:r>
            <w:r>
              <w:rPr>
                <w:rFonts w:hint="eastAsia" w:ascii="仿宋" w:hAnsi="仿宋" w:eastAsia="仿宋" w:cs="仿宋"/>
                <w:color w:val="auto"/>
                <w:spacing w:val="7"/>
                <w:sz w:val="30"/>
                <w:szCs w:val="30"/>
              </w:rPr>
              <w:t>效率</w:t>
            </w:r>
            <w:r>
              <w:rPr>
                <w:rFonts w:hint="eastAsia" w:ascii="仿宋" w:hAnsi="仿宋" w:eastAsia="仿宋" w:cs="仿宋"/>
                <w:color w:val="auto"/>
                <w:spacing w:val="9"/>
                <w:sz w:val="30"/>
                <w:szCs w:val="30"/>
              </w:rPr>
              <w:t>，</w:t>
            </w:r>
            <w:r>
              <w:rPr>
                <w:rFonts w:hint="eastAsia" w:ascii="仿宋" w:hAnsi="仿宋" w:eastAsia="仿宋" w:cs="仿宋"/>
                <w:color w:val="auto"/>
                <w:spacing w:val="7"/>
                <w:sz w:val="30"/>
                <w:szCs w:val="30"/>
              </w:rPr>
              <w:t>重</w:t>
            </w:r>
            <w:r>
              <w:rPr>
                <w:rFonts w:hint="eastAsia" w:ascii="仿宋" w:hAnsi="仿宋" w:eastAsia="仿宋" w:cs="仿宋"/>
                <w:color w:val="auto"/>
                <w:spacing w:val="9"/>
                <w:sz w:val="30"/>
                <w:szCs w:val="30"/>
              </w:rPr>
              <w:t>点</w:t>
            </w:r>
            <w:r>
              <w:rPr>
                <w:rFonts w:hint="eastAsia" w:ascii="仿宋" w:hAnsi="仿宋" w:eastAsia="仿宋" w:cs="仿宋"/>
                <w:color w:val="auto"/>
                <w:spacing w:val="7"/>
                <w:sz w:val="30"/>
                <w:szCs w:val="30"/>
              </w:rPr>
              <w:t>在水</w:t>
            </w:r>
            <w:r>
              <w:rPr>
                <w:rFonts w:hint="eastAsia" w:ascii="仿宋" w:hAnsi="仿宋" w:eastAsia="仿宋" w:cs="仿宋"/>
                <w:color w:val="auto"/>
                <w:spacing w:val="9"/>
                <w:sz w:val="30"/>
                <w:szCs w:val="30"/>
              </w:rPr>
              <w:t>资</w:t>
            </w:r>
            <w:r>
              <w:rPr>
                <w:rFonts w:hint="eastAsia" w:ascii="仿宋" w:hAnsi="仿宋" w:eastAsia="仿宋" w:cs="仿宋"/>
                <w:color w:val="auto"/>
                <w:spacing w:val="7"/>
                <w:sz w:val="30"/>
                <w:szCs w:val="30"/>
              </w:rPr>
              <w:t>源紧</w:t>
            </w:r>
            <w:r>
              <w:rPr>
                <w:rFonts w:hint="eastAsia" w:ascii="仿宋" w:hAnsi="仿宋" w:eastAsia="仿宋" w:cs="仿宋"/>
                <w:color w:val="auto"/>
                <w:spacing w:val="9"/>
                <w:sz w:val="30"/>
                <w:szCs w:val="30"/>
              </w:rPr>
              <w:t>缺</w:t>
            </w:r>
            <w:r>
              <w:rPr>
                <w:rFonts w:hint="eastAsia" w:ascii="仿宋" w:hAnsi="仿宋" w:eastAsia="仿宋" w:cs="仿宋"/>
                <w:color w:val="auto"/>
                <w:spacing w:val="7"/>
                <w:sz w:val="30"/>
                <w:szCs w:val="30"/>
              </w:rPr>
              <w:t>地</w:t>
            </w:r>
            <w:r>
              <w:rPr>
                <w:rFonts w:hint="eastAsia" w:ascii="仿宋" w:hAnsi="仿宋" w:eastAsia="仿宋" w:cs="仿宋"/>
                <w:color w:val="auto"/>
                <w:spacing w:val="9"/>
                <w:sz w:val="30"/>
                <w:szCs w:val="30"/>
              </w:rPr>
              <w:t>区</w:t>
            </w:r>
            <w:r>
              <w:rPr>
                <w:rFonts w:hint="eastAsia" w:ascii="仿宋" w:hAnsi="仿宋" w:eastAsia="仿宋" w:cs="仿宋"/>
                <w:color w:val="auto"/>
                <w:spacing w:val="7"/>
                <w:sz w:val="30"/>
                <w:szCs w:val="30"/>
              </w:rPr>
              <w:t>，建</w:t>
            </w:r>
            <w:r>
              <w:rPr>
                <w:rFonts w:hint="eastAsia" w:ascii="仿宋" w:hAnsi="仿宋" w:eastAsia="仿宋" w:cs="仿宋"/>
                <w:color w:val="auto"/>
                <w:spacing w:val="9"/>
                <w:sz w:val="30"/>
                <w:szCs w:val="30"/>
              </w:rPr>
              <w:t>设</w:t>
            </w:r>
            <w:r>
              <w:rPr>
                <w:rFonts w:hint="eastAsia" w:ascii="仿宋" w:hAnsi="仿宋" w:eastAsia="仿宋" w:cs="仿宋"/>
                <w:color w:val="auto"/>
                <w:spacing w:val="7"/>
                <w:sz w:val="30"/>
                <w:szCs w:val="30"/>
              </w:rPr>
              <w:t>一</w:t>
            </w:r>
            <w:r>
              <w:rPr>
                <w:rFonts w:hint="eastAsia" w:ascii="仿宋" w:hAnsi="仿宋" w:eastAsia="仿宋" w:cs="仿宋"/>
                <w:color w:val="auto"/>
                <w:spacing w:val="9"/>
                <w:sz w:val="30"/>
                <w:szCs w:val="30"/>
              </w:rPr>
              <w:t>批</w:t>
            </w:r>
            <w:r>
              <w:rPr>
                <w:rFonts w:hint="eastAsia" w:ascii="仿宋" w:hAnsi="仿宋" w:eastAsia="仿宋" w:cs="仿宋"/>
                <w:color w:val="auto"/>
                <w:spacing w:val="7"/>
                <w:sz w:val="30"/>
                <w:szCs w:val="30"/>
              </w:rPr>
              <w:t>高效</w:t>
            </w:r>
            <w:r>
              <w:rPr>
                <w:rFonts w:hint="eastAsia" w:ascii="仿宋" w:hAnsi="仿宋" w:eastAsia="仿宋" w:cs="仿宋"/>
                <w:color w:val="auto"/>
                <w:spacing w:val="9"/>
                <w:sz w:val="30"/>
                <w:szCs w:val="30"/>
              </w:rPr>
              <w:t>节</w:t>
            </w:r>
            <w:r>
              <w:rPr>
                <w:rFonts w:hint="eastAsia" w:ascii="仿宋" w:hAnsi="仿宋" w:eastAsia="仿宋" w:cs="仿宋"/>
                <w:color w:val="auto"/>
                <w:spacing w:val="7"/>
                <w:sz w:val="30"/>
                <w:szCs w:val="30"/>
              </w:rPr>
              <w:t>水</w:t>
            </w:r>
            <w:r>
              <w:rPr>
                <w:rFonts w:hint="eastAsia" w:ascii="仿宋" w:hAnsi="仿宋" w:eastAsia="仿宋" w:cs="仿宋"/>
                <w:color w:val="auto"/>
                <w:spacing w:val="9"/>
                <w:sz w:val="30"/>
                <w:szCs w:val="30"/>
              </w:rPr>
              <w:t>灌</w:t>
            </w:r>
            <w:r>
              <w:rPr>
                <w:rFonts w:hint="eastAsia" w:ascii="仿宋" w:hAnsi="仿宋" w:eastAsia="仿宋" w:cs="仿宋"/>
                <w:color w:val="auto"/>
                <w:spacing w:val="7"/>
                <w:sz w:val="30"/>
                <w:szCs w:val="30"/>
              </w:rPr>
              <w:t>溉示</w:t>
            </w:r>
            <w:r>
              <w:rPr>
                <w:rFonts w:hint="eastAsia" w:ascii="仿宋" w:hAnsi="仿宋" w:eastAsia="仿宋" w:cs="仿宋"/>
                <w:color w:val="auto"/>
                <w:sz w:val="30"/>
                <w:szCs w:val="30"/>
              </w:rPr>
              <w:t>范区</w:t>
            </w:r>
            <w:r>
              <w:rPr>
                <w:rFonts w:hint="eastAsia" w:ascii="仿宋" w:hAnsi="仿宋" w:eastAsia="仿宋" w:cs="仿宋"/>
                <w:color w:val="auto"/>
                <w:spacing w:val="2"/>
                <w:sz w:val="30"/>
                <w:szCs w:val="30"/>
              </w:rPr>
              <w:t>，</w:t>
            </w:r>
            <w:r>
              <w:rPr>
                <w:rFonts w:hint="eastAsia" w:ascii="仿宋" w:hAnsi="仿宋" w:eastAsia="仿宋" w:cs="仿宋"/>
                <w:color w:val="auto"/>
                <w:sz w:val="30"/>
                <w:szCs w:val="30"/>
              </w:rPr>
              <w:t>带</w:t>
            </w:r>
            <w:r>
              <w:rPr>
                <w:rFonts w:hint="eastAsia" w:ascii="仿宋" w:hAnsi="仿宋" w:eastAsia="仿宋" w:cs="仿宋"/>
                <w:color w:val="auto"/>
                <w:spacing w:val="2"/>
                <w:sz w:val="30"/>
                <w:szCs w:val="30"/>
              </w:rPr>
              <w:t>动</w:t>
            </w:r>
            <w:r>
              <w:rPr>
                <w:rFonts w:hint="eastAsia" w:ascii="仿宋" w:hAnsi="仿宋" w:eastAsia="仿宋" w:cs="仿宋"/>
                <w:color w:val="auto"/>
                <w:sz w:val="30"/>
                <w:szCs w:val="30"/>
              </w:rPr>
              <w:t>高标</w:t>
            </w:r>
            <w:r>
              <w:rPr>
                <w:rFonts w:hint="eastAsia" w:ascii="仿宋" w:hAnsi="仿宋" w:eastAsia="仿宋" w:cs="仿宋"/>
                <w:color w:val="auto"/>
                <w:spacing w:val="2"/>
                <w:sz w:val="30"/>
                <w:szCs w:val="30"/>
              </w:rPr>
              <w:t>准</w:t>
            </w:r>
            <w:r>
              <w:rPr>
                <w:rFonts w:hint="eastAsia" w:ascii="仿宋" w:hAnsi="仿宋" w:eastAsia="仿宋" w:cs="仿宋"/>
                <w:color w:val="auto"/>
                <w:sz w:val="30"/>
                <w:szCs w:val="30"/>
              </w:rPr>
              <w:t>农</w:t>
            </w:r>
            <w:r>
              <w:rPr>
                <w:rFonts w:hint="eastAsia" w:ascii="仿宋" w:hAnsi="仿宋" w:eastAsia="仿宋" w:cs="仿宋"/>
                <w:color w:val="auto"/>
                <w:spacing w:val="2"/>
                <w:sz w:val="30"/>
                <w:szCs w:val="30"/>
              </w:rPr>
              <w:t>田</w:t>
            </w:r>
            <w:r>
              <w:rPr>
                <w:rFonts w:hint="eastAsia" w:ascii="仿宋" w:hAnsi="仿宋" w:eastAsia="仿宋" w:cs="仿宋"/>
                <w:color w:val="auto"/>
                <w:sz w:val="30"/>
                <w:szCs w:val="30"/>
              </w:rPr>
              <w:t>建</w:t>
            </w:r>
            <w:r>
              <w:rPr>
                <w:rFonts w:hint="eastAsia" w:ascii="仿宋" w:hAnsi="仿宋" w:eastAsia="仿宋" w:cs="仿宋"/>
                <w:color w:val="auto"/>
                <w:spacing w:val="2"/>
                <w:sz w:val="30"/>
                <w:szCs w:val="30"/>
              </w:rPr>
              <w:t>设</w:t>
            </w:r>
            <w:r>
              <w:rPr>
                <w:rFonts w:hint="eastAsia" w:ascii="仿宋" w:hAnsi="仿宋" w:eastAsia="仿宋" w:cs="仿宋"/>
                <w:color w:val="auto"/>
                <w:sz w:val="30"/>
                <w:szCs w:val="30"/>
              </w:rPr>
              <w:t>任务</w:t>
            </w:r>
            <w:r>
              <w:rPr>
                <w:rFonts w:hint="eastAsia" w:ascii="仿宋" w:hAnsi="仿宋" w:eastAsia="仿宋" w:cs="仿宋"/>
                <w:color w:val="auto"/>
                <w:spacing w:val="2"/>
                <w:sz w:val="30"/>
                <w:szCs w:val="30"/>
              </w:rPr>
              <w:t>与</w:t>
            </w:r>
            <w:r>
              <w:rPr>
                <w:rFonts w:hint="eastAsia" w:ascii="仿宋" w:hAnsi="仿宋" w:eastAsia="仿宋" w:cs="仿宋"/>
                <w:color w:val="auto"/>
                <w:sz w:val="30"/>
                <w:szCs w:val="30"/>
              </w:rPr>
              <w:t>高</w:t>
            </w:r>
            <w:r>
              <w:rPr>
                <w:rFonts w:hint="eastAsia" w:ascii="仿宋" w:hAnsi="仿宋" w:eastAsia="仿宋" w:cs="仿宋"/>
                <w:color w:val="auto"/>
                <w:spacing w:val="2"/>
                <w:sz w:val="30"/>
                <w:szCs w:val="30"/>
              </w:rPr>
              <w:t>效</w:t>
            </w:r>
            <w:r>
              <w:rPr>
                <w:rFonts w:hint="eastAsia" w:ascii="仿宋" w:hAnsi="仿宋" w:eastAsia="仿宋" w:cs="仿宋"/>
                <w:color w:val="auto"/>
                <w:sz w:val="30"/>
                <w:szCs w:val="30"/>
              </w:rPr>
              <w:t>节水</w:t>
            </w:r>
            <w:r>
              <w:rPr>
                <w:rFonts w:hint="eastAsia" w:ascii="仿宋" w:hAnsi="仿宋" w:eastAsia="仿宋" w:cs="仿宋"/>
                <w:color w:val="auto"/>
                <w:spacing w:val="2"/>
                <w:sz w:val="30"/>
                <w:szCs w:val="30"/>
              </w:rPr>
              <w:t>灌</w:t>
            </w:r>
            <w:r>
              <w:rPr>
                <w:rFonts w:hint="eastAsia" w:ascii="仿宋" w:hAnsi="仿宋" w:eastAsia="仿宋" w:cs="仿宋"/>
                <w:color w:val="auto"/>
                <w:sz w:val="30"/>
                <w:szCs w:val="30"/>
              </w:rPr>
              <w:t>溉</w:t>
            </w:r>
            <w:r>
              <w:rPr>
                <w:rFonts w:hint="eastAsia" w:ascii="仿宋" w:hAnsi="仿宋" w:eastAsia="仿宋" w:cs="仿宋"/>
                <w:color w:val="auto"/>
                <w:spacing w:val="2"/>
                <w:sz w:val="30"/>
                <w:szCs w:val="30"/>
              </w:rPr>
              <w:t>同</w:t>
            </w:r>
            <w:r>
              <w:rPr>
                <w:rFonts w:hint="eastAsia" w:ascii="仿宋" w:hAnsi="仿宋" w:eastAsia="仿宋" w:cs="仿宋"/>
                <w:color w:val="auto"/>
                <w:sz w:val="30"/>
                <w:szCs w:val="30"/>
              </w:rPr>
              <w:t>步</w:t>
            </w:r>
            <w:r>
              <w:rPr>
                <w:rFonts w:hint="eastAsia" w:ascii="仿宋" w:hAnsi="仿宋" w:eastAsia="仿宋" w:cs="仿宋"/>
                <w:color w:val="auto"/>
                <w:spacing w:val="2"/>
                <w:sz w:val="30"/>
                <w:szCs w:val="30"/>
              </w:rPr>
              <w:t>实</w:t>
            </w:r>
            <w:r>
              <w:rPr>
                <w:rFonts w:hint="eastAsia" w:ascii="仿宋" w:hAnsi="仿宋" w:eastAsia="仿宋" w:cs="仿宋"/>
                <w:color w:val="auto"/>
                <w:sz w:val="30"/>
                <w:szCs w:val="30"/>
              </w:rPr>
              <w:t>施，</w:t>
            </w:r>
            <w:r>
              <w:rPr>
                <w:rFonts w:hint="eastAsia" w:ascii="仿宋" w:hAnsi="仿宋" w:eastAsia="仿宋" w:cs="仿宋"/>
                <w:color w:val="auto"/>
                <w:spacing w:val="2"/>
                <w:sz w:val="30"/>
                <w:szCs w:val="30"/>
              </w:rPr>
              <w:t>发</w:t>
            </w:r>
            <w:r>
              <w:rPr>
                <w:rFonts w:hint="eastAsia" w:ascii="仿宋" w:hAnsi="仿宋" w:eastAsia="仿宋" w:cs="仿宋"/>
                <w:color w:val="auto"/>
                <w:sz w:val="30"/>
                <w:szCs w:val="30"/>
              </w:rPr>
              <w:t>展</w:t>
            </w:r>
            <w:r>
              <w:rPr>
                <w:rFonts w:hint="eastAsia" w:ascii="仿宋" w:hAnsi="仿宋" w:eastAsia="仿宋" w:cs="仿宋"/>
                <w:color w:val="auto"/>
                <w:spacing w:val="2"/>
                <w:sz w:val="30"/>
                <w:szCs w:val="30"/>
              </w:rPr>
              <w:t>管</w:t>
            </w:r>
            <w:r>
              <w:rPr>
                <w:rFonts w:hint="eastAsia" w:ascii="仿宋" w:hAnsi="仿宋" w:eastAsia="仿宋" w:cs="仿宋"/>
                <w:color w:val="auto"/>
                <w:sz w:val="30"/>
                <w:szCs w:val="30"/>
              </w:rPr>
              <w:t>灌、</w:t>
            </w:r>
            <w:r>
              <w:rPr>
                <w:rFonts w:hint="eastAsia" w:ascii="仿宋" w:hAnsi="仿宋" w:eastAsia="仿宋" w:cs="仿宋"/>
                <w:color w:val="auto"/>
                <w:spacing w:val="2"/>
                <w:sz w:val="30"/>
                <w:szCs w:val="30"/>
              </w:rPr>
              <w:t>喷</w:t>
            </w:r>
            <w:r>
              <w:rPr>
                <w:rFonts w:hint="eastAsia" w:ascii="仿宋" w:hAnsi="仿宋" w:eastAsia="仿宋" w:cs="仿宋"/>
                <w:color w:val="auto"/>
                <w:sz w:val="30"/>
                <w:szCs w:val="30"/>
              </w:rPr>
              <w:t>灌</w:t>
            </w:r>
            <w:r>
              <w:rPr>
                <w:rFonts w:hint="eastAsia" w:ascii="仿宋" w:hAnsi="仿宋" w:eastAsia="仿宋" w:cs="仿宋"/>
                <w:color w:val="auto"/>
                <w:spacing w:val="2"/>
                <w:sz w:val="30"/>
                <w:szCs w:val="30"/>
              </w:rPr>
              <w:t>和</w:t>
            </w:r>
            <w:r>
              <w:rPr>
                <w:rFonts w:hint="eastAsia" w:ascii="仿宋" w:hAnsi="仿宋" w:eastAsia="仿宋" w:cs="仿宋"/>
                <w:color w:val="auto"/>
                <w:sz w:val="30"/>
                <w:szCs w:val="30"/>
              </w:rPr>
              <w:t>微</w:t>
            </w:r>
            <w:r>
              <w:rPr>
                <w:rFonts w:hint="eastAsia" w:ascii="仿宋" w:hAnsi="仿宋" w:eastAsia="仿宋" w:cs="仿宋"/>
                <w:color w:val="auto"/>
                <w:spacing w:val="2"/>
                <w:sz w:val="30"/>
                <w:szCs w:val="30"/>
              </w:rPr>
              <w:t>灌</w:t>
            </w:r>
            <w:r>
              <w:rPr>
                <w:rFonts w:hint="eastAsia" w:ascii="仿宋" w:hAnsi="仿宋" w:eastAsia="仿宋" w:cs="仿宋"/>
                <w:color w:val="auto"/>
                <w:sz w:val="30"/>
                <w:szCs w:val="30"/>
              </w:rPr>
              <w:t>工程，支持水肥一体化设施，鼓励堰坝、蓄水池等小型水源工程及排水沟改造。</w:t>
            </w:r>
          </w:p>
        </w:tc>
      </w:tr>
    </w:tbl>
    <w:p>
      <w:pPr>
        <w:numPr>
          <w:ilvl w:val="0"/>
          <w:numId w:val="0"/>
        </w:numPr>
        <w:bidi w:val="0"/>
        <w:ind w:left="720" w:leftChars="0"/>
        <w:rPr>
          <w:rFonts w:hint="eastAsia" w:ascii="楷体" w:hAnsi="楷体" w:eastAsia="楷体" w:cs="楷体"/>
          <w:color w:val="auto"/>
          <w:sz w:val="32"/>
          <w:szCs w:val="32"/>
        </w:rPr>
      </w:pPr>
      <w:r>
        <w:rPr>
          <w:rFonts w:hint="eastAsia" w:ascii="楷体" w:hAnsi="楷体" w:eastAsia="楷体" w:cs="楷体"/>
          <w:color w:val="auto"/>
          <w:sz w:val="32"/>
          <w:szCs w:val="32"/>
          <w:lang w:eastAsia="zh-CN"/>
        </w:rPr>
        <w:t>（四）</w:t>
      </w:r>
      <w:r>
        <w:rPr>
          <w:rFonts w:hint="eastAsia" w:ascii="楷体" w:hAnsi="楷体" w:eastAsia="楷体" w:cs="楷体"/>
          <w:color w:val="auto"/>
          <w:sz w:val="32"/>
          <w:szCs w:val="32"/>
        </w:rPr>
        <w:t>田间道路</w:t>
      </w:r>
      <w:r>
        <w:rPr>
          <w:rFonts w:hint="eastAsia" w:ascii="楷体" w:hAnsi="楷体" w:eastAsia="楷体" w:cs="楷体"/>
          <w:color w:val="auto"/>
          <w:sz w:val="32"/>
          <w:szCs w:val="32"/>
          <w:lang w:val="en-US" w:eastAsia="zh-CN"/>
        </w:rPr>
        <w:t>标准</w:t>
      </w:r>
    </w:p>
    <w:p>
      <w:pPr>
        <w:bidi w:val="0"/>
        <w:rPr>
          <w:color w:val="auto"/>
          <w:sz w:val="32"/>
          <w:szCs w:val="32"/>
        </w:rPr>
      </w:pPr>
      <w:r>
        <w:rPr>
          <w:color w:val="auto"/>
          <w:sz w:val="32"/>
          <w:szCs w:val="32"/>
        </w:rPr>
        <w:t>田间道路布置应适应农业现代化的需要，与田、水、林、电、村规划相衔接，与村村通、村组通公路建设规划相衔接。优先改造利用原有道路，尽量少占农田，不应破坏已有的各项基础设施；</w:t>
      </w:r>
      <w:r>
        <w:rPr>
          <w:rFonts w:hint="eastAsia"/>
          <w:color w:val="auto"/>
          <w:sz w:val="32"/>
          <w:szCs w:val="32"/>
        </w:rPr>
        <w:t>圩区</w:t>
      </w:r>
      <w:r>
        <w:rPr>
          <w:color w:val="auto"/>
          <w:sz w:val="32"/>
          <w:szCs w:val="32"/>
        </w:rPr>
        <w:t>田间道路尽量短顺平直；丘陵山区应随地形变化适当弯曲，随坡就势，节省土石方。田间道路通达度</w:t>
      </w:r>
      <w:r>
        <w:rPr>
          <w:rFonts w:hint="eastAsia"/>
          <w:color w:val="auto"/>
          <w:sz w:val="32"/>
          <w:szCs w:val="32"/>
        </w:rPr>
        <w:t>圩区</w:t>
      </w:r>
      <w:r>
        <w:rPr>
          <w:color w:val="auto"/>
          <w:sz w:val="32"/>
          <w:szCs w:val="32"/>
        </w:rPr>
        <w:t>应达到100%，丘陵山区不应低于90%。</w:t>
      </w:r>
    </w:p>
    <w:p>
      <w:pPr>
        <w:bidi w:val="0"/>
        <w:rPr>
          <w:rFonts w:hint="eastAsia" w:cs="Times New Roman"/>
          <w:color w:val="auto"/>
          <w:sz w:val="32"/>
          <w:szCs w:val="32"/>
        </w:rPr>
      </w:pPr>
      <w:r>
        <w:rPr>
          <w:color w:val="auto"/>
          <w:sz w:val="32"/>
          <w:szCs w:val="32"/>
        </w:rPr>
        <w:t>田间道（机耕路）的路面宽度宜为</w:t>
      </w:r>
      <w:r>
        <w:rPr>
          <w:rFonts w:hint="eastAsia"/>
          <w:color w:val="auto"/>
          <w:sz w:val="32"/>
          <w:szCs w:val="32"/>
          <w:lang w:val="en-US" w:eastAsia="zh-CN"/>
        </w:rPr>
        <w:t>3</w:t>
      </w:r>
      <w:r>
        <w:rPr>
          <w:color w:val="auto"/>
          <w:sz w:val="32"/>
          <w:szCs w:val="32"/>
        </w:rPr>
        <w:t>～6m，生产路的路面宽度宜为</w:t>
      </w:r>
      <w:r>
        <w:rPr>
          <w:rFonts w:hint="default" w:ascii="Arial" w:hAnsi="Arial" w:cs="Arial"/>
          <w:color w:val="auto"/>
          <w:sz w:val="32"/>
          <w:szCs w:val="32"/>
        </w:rPr>
        <w:t>≤</w:t>
      </w:r>
      <w:r>
        <w:rPr>
          <w:color w:val="auto"/>
          <w:sz w:val="32"/>
          <w:szCs w:val="32"/>
        </w:rPr>
        <w:t>3m。田间道（机耕路）路面应满足强度、稳定性和平整度的要求，宜采用生态混凝土、碎石等硬化材质并采用车辙路、砌块间隔铺装等生态化路面结构。道路两侧可设置路肩，路肩宽宜为30～50cm。在暴雨冲刷严重的区域，田间道路面应采用硬化措施。生产路的路面层在</w:t>
      </w:r>
      <w:r>
        <w:rPr>
          <w:rFonts w:cs="Times New Roman"/>
          <w:color w:val="auto"/>
          <w:sz w:val="32"/>
          <w:szCs w:val="32"/>
        </w:rPr>
        <w:t>不同区域可有所差异，宜采用碎石、素土等材质。</w:t>
      </w:r>
      <w:r>
        <w:rPr>
          <w:rFonts w:hint="eastAsia" w:cs="Times New Roman"/>
          <w:color w:val="auto"/>
          <w:sz w:val="32"/>
          <w:szCs w:val="32"/>
        </w:rPr>
        <w:t>田间道（机耕路）与田面之间高差大于</w:t>
      </w:r>
      <w:r>
        <w:rPr>
          <w:rFonts w:hint="eastAsia" w:cs="Times New Roman"/>
          <w:color w:val="auto"/>
          <w:sz w:val="32"/>
          <w:szCs w:val="32"/>
          <w:lang w:val="en-US" w:eastAsia="zh-CN"/>
        </w:rPr>
        <w:t>0.5</w:t>
      </w:r>
      <w:r>
        <w:rPr>
          <w:rFonts w:hint="eastAsia" w:cs="Times New Roman"/>
          <w:color w:val="auto"/>
          <w:sz w:val="32"/>
          <w:szCs w:val="32"/>
        </w:rPr>
        <w:t>ｍ 或存在宽度（深度）大于</w:t>
      </w:r>
      <w:r>
        <w:rPr>
          <w:rFonts w:hint="eastAsia" w:cs="Times New Roman"/>
          <w:color w:val="auto"/>
          <w:sz w:val="32"/>
          <w:szCs w:val="32"/>
          <w:lang w:val="en-US" w:eastAsia="zh-CN"/>
        </w:rPr>
        <w:t>0.5</w:t>
      </w:r>
      <w:r>
        <w:rPr>
          <w:rFonts w:hint="eastAsia" w:cs="Times New Roman"/>
          <w:color w:val="auto"/>
          <w:sz w:val="32"/>
          <w:szCs w:val="32"/>
        </w:rPr>
        <w:t xml:space="preserve">ｍ的沟渠，宜结合实际合理设置下田坡道或下田管涵。 </w:t>
      </w:r>
    </w:p>
    <w:p>
      <w:pPr>
        <w:numPr>
          <w:ilvl w:val="0"/>
          <w:numId w:val="0"/>
        </w:numPr>
        <w:bidi w:val="0"/>
        <w:ind w:left="720" w:leftChars="0"/>
        <w:rPr>
          <w:rFonts w:hint="eastAsia" w:ascii="楷体" w:hAnsi="楷体" w:eastAsia="楷体" w:cs="楷体"/>
          <w:color w:val="auto"/>
          <w:sz w:val="32"/>
          <w:szCs w:val="32"/>
        </w:rPr>
      </w:pPr>
      <w:r>
        <w:rPr>
          <w:rFonts w:hint="eastAsia" w:ascii="楷体" w:hAnsi="楷体" w:eastAsia="楷体" w:cs="楷体"/>
          <w:color w:val="auto"/>
          <w:sz w:val="32"/>
          <w:szCs w:val="32"/>
          <w:lang w:eastAsia="zh-CN"/>
        </w:rPr>
        <w:t>（五）</w:t>
      </w:r>
      <w:r>
        <w:rPr>
          <w:rFonts w:hint="eastAsia" w:ascii="楷体" w:hAnsi="楷体" w:eastAsia="楷体" w:cs="楷体"/>
          <w:color w:val="auto"/>
          <w:sz w:val="32"/>
          <w:szCs w:val="32"/>
        </w:rPr>
        <w:t>农田防护与生态环境保护</w:t>
      </w:r>
      <w:r>
        <w:rPr>
          <w:rFonts w:hint="eastAsia" w:ascii="楷体" w:hAnsi="楷体" w:eastAsia="楷体" w:cs="楷体"/>
          <w:color w:val="auto"/>
          <w:sz w:val="32"/>
          <w:szCs w:val="32"/>
          <w:lang w:val="en-US" w:eastAsia="zh-CN"/>
        </w:rPr>
        <w:t>标准</w:t>
      </w:r>
    </w:p>
    <w:p>
      <w:pPr>
        <w:bidi w:val="0"/>
        <w:rPr>
          <w:color w:val="auto"/>
          <w:sz w:val="32"/>
          <w:szCs w:val="32"/>
        </w:rPr>
      </w:pPr>
      <w:r>
        <w:rPr>
          <w:color w:val="auto"/>
          <w:sz w:val="32"/>
          <w:szCs w:val="32"/>
        </w:rPr>
        <w:t>农田防护与生态环境保持工程包括农田林网工程、岸坡防护工程、沟道治理工程和坡面防护工程等。受防护的农田面积占建设区面积的比例，一般应不低于90</w:t>
      </w:r>
      <w:r>
        <w:rPr>
          <w:rFonts w:hint="eastAsia"/>
          <w:color w:val="auto"/>
          <w:sz w:val="32"/>
          <w:szCs w:val="32"/>
        </w:rPr>
        <w:t>%</w:t>
      </w:r>
      <w:r>
        <w:rPr>
          <w:color w:val="auto"/>
          <w:sz w:val="32"/>
          <w:szCs w:val="32"/>
        </w:rPr>
        <w:t>，农田防洪标准按重现期10～20年一遇确定；水土流失治理率不低于90%。沟道治理宜保留沟道天然形态及断面，控制截弯取直，沟道断面形式及尺度应避免均一化、单一化。坡面防护工程应合理布置截水沟、排洪沟等坡面水系工程，形成配套完善的坡面灌排体系。</w:t>
      </w:r>
    </w:p>
    <w:p>
      <w:pPr>
        <w:bidi w:val="0"/>
        <w:rPr>
          <w:color w:val="auto"/>
          <w:sz w:val="32"/>
          <w:szCs w:val="32"/>
        </w:rPr>
      </w:pPr>
      <w:r>
        <w:rPr>
          <w:color w:val="auto"/>
          <w:sz w:val="32"/>
          <w:szCs w:val="32"/>
        </w:rPr>
        <w:t>丘陵山区以营造水土保持林、水源涵养林为主，并且应修筑岸坡防护、坡面防护、沟道治理等设施。项目区内主要道路、沟渠、河流两侧，适时、适地、适树进行植树造林，造林时应预留出农机进出田间的作业通道，农田防护面积比例不得低于90%。</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noWrap w:val="0"/>
            <w:vAlign w:val="center"/>
          </w:tcPr>
          <w:p>
            <w:pPr>
              <w:overflowPunct w:val="0"/>
              <w:autoSpaceDE w:val="0"/>
              <w:autoSpaceDN w:val="0"/>
              <w:spacing w:line="400" w:lineRule="exact"/>
              <w:jc w:val="center"/>
              <w:rPr>
                <w:rFonts w:ascii="Times New Roman" w:hAnsi="Times New Roman" w:eastAsia="方正仿宋_GBK"/>
                <w:snapToGrid w:val="0"/>
                <w:color w:val="auto"/>
                <w:kern w:val="0"/>
                <w:sz w:val="30"/>
                <w:szCs w:val="30"/>
              </w:rPr>
            </w:pPr>
            <w:r>
              <w:rPr>
                <w:rFonts w:hint="eastAsia" w:ascii="仿宋" w:hAnsi="仿宋" w:eastAsia="仿宋" w:cs="仿宋"/>
                <w:b/>
                <w:bCs/>
                <w:snapToGrid w:val="0"/>
                <w:color w:val="auto"/>
                <w:kern w:val="0"/>
                <w:sz w:val="30"/>
                <w:szCs w:val="30"/>
              </w:rPr>
              <w:t>专栏</w:t>
            </w:r>
            <w:r>
              <w:rPr>
                <w:rFonts w:hint="eastAsia" w:ascii="仿宋" w:hAnsi="仿宋" w:cs="仿宋"/>
                <w:b/>
                <w:bCs/>
                <w:snapToGrid w:val="0"/>
                <w:color w:val="auto"/>
                <w:kern w:val="0"/>
                <w:sz w:val="30"/>
                <w:szCs w:val="30"/>
                <w:lang w:val="en-US" w:eastAsia="zh-CN"/>
              </w:rPr>
              <w:t xml:space="preserve">4 </w:t>
            </w:r>
            <w:r>
              <w:rPr>
                <w:rFonts w:hint="eastAsia" w:ascii="仿宋" w:hAnsi="仿宋" w:eastAsia="仿宋" w:cs="仿宋"/>
                <w:b/>
                <w:bCs/>
                <w:snapToGrid w:val="0"/>
                <w:color w:val="auto"/>
                <w:kern w:val="0"/>
                <w:sz w:val="30"/>
                <w:szCs w:val="30"/>
              </w:rPr>
              <w:t>绿色农田创建示范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overflowPunct w:val="0"/>
              <w:autoSpaceDE w:val="0"/>
              <w:autoSpaceDN w:val="0"/>
              <w:spacing w:line="400" w:lineRule="exact"/>
              <w:ind w:firstLine="636" w:firstLineChars="200"/>
              <w:jc w:val="left"/>
              <w:rPr>
                <w:rFonts w:ascii="Times New Roman" w:hAnsi="Times New Roman" w:eastAsia="方正仿宋_GBK"/>
                <w:color w:val="auto"/>
                <w:kern w:val="0"/>
                <w:sz w:val="30"/>
                <w:szCs w:val="30"/>
              </w:rPr>
            </w:pPr>
            <w:r>
              <w:rPr>
                <w:rFonts w:hint="eastAsia" w:ascii="仿宋" w:hAnsi="仿宋" w:eastAsia="仿宋" w:cs="仿宋"/>
                <w:color w:val="auto"/>
                <w:spacing w:val="9"/>
                <w:kern w:val="2"/>
                <w:sz w:val="30"/>
                <w:szCs w:val="30"/>
                <w:lang w:val="en-US" w:eastAsia="zh-CN" w:bidi="ar-SA"/>
              </w:rPr>
              <w:t>选择生产基础好的粮食生产优势地区，围绕提升高标准农田绿色建造技术，提高高标准农田绿色生产水平，开展绿色农田示范区创建，提升农田生态功能。推行一批绿色工程技术、绿色农业生产技术，增加优质粮食和重要农产品供给。打造一批集耕地保护、生态涵养、节水节肥节药、病虫害绿色防控、面源污染防治、绿色种养循环技术和田园生态景观改善的高标准农田示范区。</w:t>
            </w:r>
          </w:p>
        </w:tc>
      </w:tr>
    </w:tbl>
    <w:p>
      <w:pPr>
        <w:numPr>
          <w:ilvl w:val="0"/>
          <w:numId w:val="0"/>
        </w:numPr>
        <w:bidi w:val="0"/>
        <w:ind w:left="720" w:leftChars="0"/>
        <w:rPr>
          <w:rFonts w:hint="eastAsia" w:ascii="楷体" w:hAnsi="楷体" w:eastAsia="楷体" w:cs="楷体"/>
          <w:color w:val="auto"/>
          <w:sz w:val="32"/>
          <w:szCs w:val="32"/>
        </w:rPr>
      </w:pPr>
      <w:r>
        <w:rPr>
          <w:rFonts w:hint="eastAsia" w:ascii="楷体" w:hAnsi="楷体" w:eastAsia="楷体" w:cs="楷体"/>
          <w:color w:val="auto"/>
          <w:sz w:val="32"/>
          <w:szCs w:val="32"/>
          <w:lang w:eastAsia="zh-CN"/>
        </w:rPr>
        <w:t>（六）</w:t>
      </w:r>
      <w:r>
        <w:rPr>
          <w:rFonts w:hint="eastAsia" w:ascii="楷体" w:hAnsi="楷体" w:eastAsia="楷体" w:cs="楷体"/>
          <w:color w:val="auto"/>
          <w:sz w:val="32"/>
          <w:szCs w:val="32"/>
        </w:rPr>
        <w:t>农田输配电</w:t>
      </w:r>
      <w:r>
        <w:rPr>
          <w:rFonts w:hint="eastAsia" w:ascii="楷体" w:hAnsi="楷体" w:eastAsia="楷体" w:cs="楷体"/>
          <w:color w:val="auto"/>
          <w:sz w:val="32"/>
          <w:szCs w:val="32"/>
          <w:lang w:val="en-US" w:eastAsia="zh-CN"/>
        </w:rPr>
        <w:t>标准</w:t>
      </w:r>
    </w:p>
    <w:p>
      <w:pPr>
        <w:bidi w:val="0"/>
        <w:rPr>
          <w:color w:val="auto"/>
          <w:sz w:val="32"/>
          <w:szCs w:val="32"/>
        </w:rPr>
      </w:pPr>
      <w:r>
        <w:rPr>
          <w:color w:val="auto"/>
          <w:sz w:val="32"/>
          <w:szCs w:val="32"/>
        </w:rPr>
        <w:t>农田输配电工程布设应与田间道路、灌溉与排水等工程相结合，为泵站、机井以及信息化工程等提供电力保障，符合电力系统安装与运行相关标准，保证用电质量和安全。农用输配电建设包括配电线路工程和配电装置工程。农田输配电建设一般采用10kV及以下电压等级。10kV农田输配电线路优先采用架空线方式，架空线路宜选用JKLYJ架空绝缘铝导线，电力电缆线路选用YJV22交联聚乙烯绝缘铜芯电缆，大跨越等特殊情况可采用绝缘钢芯铝绞线；新建或改造的低压线路以架空绝缘线为主，特定区域可采用低压电缆或集束导线，设置警示标识。变配电设施应选用适合的变压器、配电箱（屏）、断路器、互感器、避雷器、接地装置等相关设施。农田输配电设备接地方式宜采用TT系统，对安全有特殊要求的宜采用IT系统。根据农田信息化建设和管理要求，合理布设弱电设施。</w:t>
      </w:r>
    </w:p>
    <w:p>
      <w:pPr>
        <w:bidi w:val="0"/>
        <w:rPr>
          <w:rFonts w:hint="eastAsia"/>
          <w:color w:val="auto"/>
          <w:sz w:val="32"/>
          <w:szCs w:val="32"/>
        </w:rPr>
      </w:pPr>
      <w:r>
        <w:rPr>
          <w:color w:val="auto"/>
          <w:sz w:val="32"/>
          <w:szCs w:val="32"/>
        </w:rPr>
        <w:t>应根据输送容量、供电半径选择输配电线路导线截面和输送方式，合理布设变电站，确定主变容量、电压等级、馈线分布、负荷分配及保护方式。设计标准应满足电力系统安装与运行有关规定，提高输电效率，保证运行安全。高压线的线间距应在保障安全的前提下，结合运行经验确定；塔杆宜采用水泥杆或拉线水泥杆，应在塔杆上标明线路的名称、代号、塔杆号等；塔基宜选用预制底盘或混凝土基础。</w:t>
      </w:r>
    </w:p>
    <w:p>
      <w:pPr>
        <w:numPr>
          <w:ilvl w:val="0"/>
          <w:numId w:val="0"/>
        </w:numPr>
        <w:bidi w:val="0"/>
        <w:ind w:left="720" w:leftChars="0"/>
        <w:rPr>
          <w:rFonts w:hint="eastAsia" w:ascii="楷体" w:hAnsi="楷体" w:eastAsia="楷体" w:cs="楷体"/>
          <w:color w:val="auto"/>
          <w:sz w:val="32"/>
          <w:szCs w:val="32"/>
        </w:rPr>
      </w:pPr>
      <w:r>
        <w:rPr>
          <w:rFonts w:hint="eastAsia" w:ascii="楷体" w:hAnsi="楷体" w:eastAsia="楷体" w:cs="楷体"/>
          <w:color w:val="auto"/>
          <w:sz w:val="32"/>
          <w:szCs w:val="32"/>
          <w:lang w:eastAsia="zh-CN"/>
        </w:rPr>
        <w:t>（七）</w:t>
      </w:r>
      <w:r>
        <w:rPr>
          <w:rFonts w:hint="eastAsia" w:ascii="楷体" w:hAnsi="楷体" w:eastAsia="楷体" w:cs="楷体"/>
          <w:color w:val="auto"/>
          <w:sz w:val="32"/>
          <w:szCs w:val="32"/>
        </w:rPr>
        <w:t>科技服务</w:t>
      </w:r>
      <w:r>
        <w:rPr>
          <w:rFonts w:hint="eastAsia" w:ascii="楷体" w:hAnsi="楷体" w:eastAsia="楷体" w:cs="楷体"/>
          <w:color w:val="auto"/>
          <w:sz w:val="32"/>
          <w:szCs w:val="32"/>
          <w:lang w:val="en-US" w:eastAsia="zh-CN"/>
        </w:rPr>
        <w:t>标准</w:t>
      </w:r>
    </w:p>
    <w:p>
      <w:pPr>
        <w:bidi w:val="0"/>
        <w:rPr>
          <w:color w:val="auto"/>
          <w:sz w:val="32"/>
          <w:szCs w:val="32"/>
        </w:rPr>
      </w:pPr>
      <w:r>
        <w:rPr>
          <w:color w:val="auto"/>
          <w:sz w:val="32"/>
          <w:szCs w:val="32"/>
        </w:rPr>
        <w:t>高标准农田建成后，应加强农业科技配套与应用。应推广农业生产全程机械化，农机农艺配套，提高农业生产机械化水平。</w:t>
      </w:r>
      <w:r>
        <w:rPr>
          <w:rFonts w:hint="eastAsia"/>
          <w:color w:val="auto"/>
          <w:sz w:val="32"/>
          <w:szCs w:val="32"/>
          <w:lang w:val="en-US" w:eastAsia="zh-CN"/>
        </w:rPr>
        <w:t>圩区</w:t>
      </w:r>
      <w:r>
        <w:rPr>
          <w:color w:val="auto"/>
          <w:sz w:val="32"/>
          <w:szCs w:val="32"/>
        </w:rPr>
        <w:t>主要农作物综合机械化水平达到85%以上，丘陵山区不低于70%；优良品种覆盖率应达到95%以上，测土配方施肥覆盖率应达到95%以上，病虫害综合防治覆盖率应达到85%以上，有条件的地方应推广高效节水技术和保护性耕作技术。</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noWrap w:val="0"/>
            <w:vAlign w:val="center"/>
          </w:tcPr>
          <w:p>
            <w:pPr>
              <w:overflowPunct w:val="0"/>
              <w:autoSpaceDE w:val="0"/>
              <w:autoSpaceDN w:val="0"/>
              <w:spacing w:line="400" w:lineRule="exact"/>
              <w:ind w:left="0" w:leftChars="0" w:firstLine="0" w:firstLineChars="0"/>
              <w:jc w:val="center"/>
              <w:rPr>
                <w:rFonts w:ascii="Times New Roman" w:hAnsi="Times New Roman" w:eastAsia="方正仿宋_GBK"/>
                <w:snapToGrid w:val="0"/>
                <w:color w:val="auto"/>
                <w:kern w:val="0"/>
                <w:sz w:val="30"/>
                <w:szCs w:val="30"/>
              </w:rPr>
            </w:pPr>
            <w:r>
              <w:rPr>
                <w:rFonts w:hint="eastAsia" w:ascii="仿宋" w:hAnsi="仿宋" w:eastAsia="仿宋" w:cs="仿宋"/>
                <w:b/>
                <w:bCs/>
                <w:snapToGrid w:val="0"/>
                <w:color w:val="auto"/>
                <w:kern w:val="0"/>
                <w:sz w:val="30"/>
                <w:szCs w:val="30"/>
              </w:rPr>
              <w:t>专栏</w:t>
            </w:r>
            <w:r>
              <w:rPr>
                <w:rFonts w:hint="eastAsia" w:ascii="仿宋" w:hAnsi="仿宋" w:cs="仿宋"/>
                <w:b/>
                <w:bCs/>
                <w:snapToGrid w:val="0"/>
                <w:color w:val="auto"/>
                <w:kern w:val="0"/>
                <w:sz w:val="30"/>
                <w:szCs w:val="30"/>
                <w:lang w:val="en-US" w:eastAsia="zh-CN"/>
              </w:rPr>
              <w:t xml:space="preserve">5 </w:t>
            </w:r>
            <w:r>
              <w:rPr>
                <w:rFonts w:hint="eastAsia" w:ascii="仿宋" w:hAnsi="仿宋" w:eastAsia="仿宋" w:cs="仿宋"/>
                <w:b/>
                <w:bCs/>
                <w:snapToGrid w:val="0"/>
                <w:color w:val="auto"/>
                <w:kern w:val="0"/>
                <w:sz w:val="30"/>
                <w:szCs w:val="30"/>
              </w:rPr>
              <w:t>耕地质量长期定位监测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overflowPunct w:val="0"/>
              <w:autoSpaceDE w:val="0"/>
              <w:autoSpaceDN w:val="0"/>
              <w:spacing w:line="400" w:lineRule="exact"/>
              <w:ind w:firstLine="636" w:firstLineChars="200"/>
              <w:jc w:val="both"/>
              <w:rPr>
                <w:rFonts w:ascii="Times New Roman" w:hAnsi="Times New Roman" w:eastAsia="方正仿宋_GBK"/>
                <w:color w:val="auto"/>
                <w:kern w:val="0"/>
                <w:sz w:val="30"/>
                <w:szCs w:val="30"/>
              </w:rPr>
            </w:pPr>
            <w:r>
              <w:rPr>
                <w:rFonts w:hint="eastAsia" w:ascii="仿宋" w:hAnsi="仿宋" w:eastAsia="仿宋" w:cs="仿宋"/>
                <w:color w:val="auto"/>
                <w:spacing w:val="9"/>
                <w:kern w:val="2"/>
                <w:sz w:val="30"/>
                <w:szCs w:val="30"/>
                <w:lang w:val="en-US" w:eastAsia="zh-CN" w:bidi="ar-SA"/>
              </w:rPr>
              <w:t>为跟踪监测高标准农田耕地质量变化情况，及时发现耕地生产障碍因素与设施损毁情况，开展有针对性的培肥改良、治理修复、设施维护，可按不低于每3～5万亩设置1个监测点的密度要求，建立高标准农田耕地质量长期定位监测点。监测点对农田生产条件、土壤墒情、土壤主要理化性状、农业投入品、作物产量、农田设施维护等情况开展监测，为有针对性提高高标准农田质量与产能水平提供依据。</w:t>
            </w:r>
          </w:p>
        </w:tc>
      </w:tr>
    </w:tbl>
    <w:p>
      <w:pPr>
        <w:numPr>
          <w:ilvl w:val="0"/>
          <w:numId w:val="0"/>
        </w:numPr>
        <w:bidi w:val="0"/>
        <w:ind w:left="720" w:leftChars="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eastAsia="zh-CN"/>
        </w:rPr>
        <w:t>（八）</w:t>
      </w:r>
      <w:r>
        <w:rPr>
          <w:rFonts w:hint="eastAsia" w:ascii="楷体" w:hAnsi="楷体" w:eastAsia="楷体" w:cs="楷体"/>
          <w:color w:val="auto"/>
          <w:sz w:val="32"/>
          <w:szCs w:val="32"/>
        </w:rPr>
        <w:t>建设管理与建后管护</w:t>
      </w:r>
      <w:r>
        <w:rPr>
          <w:rFonts w:hint="eastAsia" w:ascii="楷体" w:hAnsi="楷体" w:eastAsia="楷体" w:cs="楷体"/>
          <w:color w:val="auto"/>
          <w:sz w:val="32"/>
          <w:szCs w:val="32"/>
          <w:lang w:val="en-US" w:eastAsia="zh-CN"/>
        </w:rPr>
        <w:t>标准</w:t>
      </w:r>
    </w:p>
    <w:p>
      <w:pPr>
        <w:bidi w:val="0"/>
        <w:rPr>
          <w:rFonts w:hint="eastAsia" w:eastAsia="仿宋"/>
          <w:color w:val="auto"/>
          <w:sz w:val="32"/>
          <w:szCs w:val="32"/>
          <w:lang w:val="en-US" w:eastAsia="zh-CN"/>
        </w:rPr>
      </w:pPr>
      <w:r>
        <w:rPr>
          <w:color w:val="auto"/>
          <w:sz w:val="32"/>
          <w:szCs w:val="32"/>
        </w:rPr>
        <w:t>建立项目申报、土地权属调整、上图入库、勘察设计、招标投标、工程施工、工程监理、竣工验收等重要环节的全面精细化、规范化和信息化管理体系。</w:t>
      </w:r>
    </w:p>
    <w:p>
      <w:pPr>
        <w:bidi w:val="0"/>
        <w:rPr>
          <w:color w:val="auto"/>
        </w:rPr>
      </w:pPr>
      <w:r>
        <w:rPr>
          <w:color w:val="auto"/>
          <w:sz w:val="32"/>
          <w:szCs w:val="32"/>
        </w:rPr>
        <w:t>建立政府主导，农村集体经济组织管理，农户、新型经营主体、专业管护人员以及专业协会等共同参与的管护体系。按</w:t>
      </w:r>
      <w:r>
        <w:rPr>
          <w:rFonts w:hint="eastAsia"/>
          <w:color w:val="auto"/>
          <w:sz w:val="32"/>
          <w:szCs w:val="32"/>
        </w:rPr>
        <w:t>照“谁受益、谁管护，谁使用、谁管护”的</w:t>
      </w:r>
      <w:r>
        <w:rPr>
          <w:color w:val="auto"/>
          <w:sz w:val="32"/>
          <w:szCs w:val="32"/>
        </w:rPr>
        <w:t>原则，明确管护主体、管护责任和管护义务，办理移交手续，签订后期管护合同。管护主体应对各项工程设施进行经常性检查维护，确保长期稳定有效利用。加强地质灾害、土壤污染、地表沉陷等灾害防治新技术应用，增强高标准农田的防灾抗灾减灾能力。</w:t>
      </w:r>
    </w:p>
    <w:p>
      <w:pPr>
        <w:pStyle w:val="4"/>
        <w:bidi w:val="0"/>
        <w:rPr>
          <w:rFonts w:hint="default"/>
          <w:b w:val="0"/>
          <w:bCs w:val="0"/>
          <w:color w:val="auto"/>
          <w:sz w:val="32"/>
          <w:szCs w:val="32"/>
          <w:lang w:val="en-US" w:eastAsia="zh-CN"/>
        </w:rPr>
      </w:pPr>
      <w:bookmarkStart w:id="62" w:name="_Toc24721_WPSOffice_Level2"/>
      <w:bookmarkStart w:id="63" w:name="_Toc931_WPSOffice_Level2"/>
      <w:r>
        <w:rPr>
          <w:rFonts w:hint="eastAsia"/>
          <w:b w:val="0"/>
          <w:bCs w:val="0"/>
          <w:color w:val="auto"/>
          <w:sz w:val="32"/>
          <w:szCs w:val="32"/>
          <w:lang w:val="en-US" w:eastAsia="zh-CN"/>
        </w:rPr>
        <w:t>二、建设内容</w:t>
      </w:r>
      <w:bookmarkEnd w:id="62"/>
      <w:bookmarkEnd w:id="63"/>
    </w:p>
    <w:p>
      <w:pPr>
        <w:bidi w:val="0"/>
        <w:rPr>
          <w:color w:val="auto"/>
          <w:sz w:val="32"/>
          <w:szCs w:val="32"/>
        </w:rPr>
      </w:pPr>
      <w:r>
        <w:rPr>
          <w:color w:val="auto"/>
          <w:sz w:val="32"/>
          <w:szCs w:val="32"/>
        </w:rPr>
        <w:t>高标准农田建设主要涉及田块整治、</w:t>
      </w:r>
      <w:r>
        <w:rPr>
          <w:rFonts w:hint="eastAsia"/>
          <w:color w:val="auto"/>
          <w:sz w:val="32"/>
          <w:szCs w:val="32"/>
          <w:lang w:val="en-US" w:eastAsia="zh-CN"/>
        </w:rPr>
        <w:t>农田地力提升</w:t>
      </w:r>
      <w:r>
        <w:rPr>
          <w:color w:val="auto"/>
          <w:sz w:val="32"/>
          <w:szCs w:val="32"/>
        </w:rPr>
        <w:t>、灌溉和排水、田间道路、农田防护与生态环境保护、农田输配电、科技服务、建设管理与建后管护</w:t>
      </w:r>
      <w:r>
        <w:rPr>
          <w:rFonts w:hint="eastAsia"/>
          <w:color w:val="auto"/>
          <w:sz w:val="32"/>
          <w:szCs w:val="32"/>
          <w:lang w:eastAsia="zh-CN"/>
        </w:rPr>
        <w:t>，</w:t>
      </w:r>
      <w:r>
        <w:rPr>
          <w:color w:val="auto"/>
          <w:sz w:val="32"/>
          <w:szCs w:val="32"/>
        </w:rPr>
        <w:t>8个方面目标。</w:t>
      </w:r>
    </w:p>
    <w:p>
      <w:pPr>
        <w:bidi w:val="0"/>
        <w:rPr>
          <w:color w:val="auto"/>
          <w:sz w:val="32"/>
          <w:szCs w:val="32"/>
        </w:rPr>
      </w:pPr>
      <w:r>
        <w:rPr>
          <w:rFonts w:hint="eastAsia" w:ascii="楷体" w:hAnsi="楷体" w:eastAsia="楷体" w:cs="楷体"/>
          <w:b/>
          <w:bCs/>
          <w:color w:val="auto"/>
          <w:sz w:val="32"/>
          <w:szCs w:val="32"/>
          <w:lang w:val="en-US" w:eastAsia="zh-CN"/>
        </w:rPr>
        <w:t>（一）田块整治。</w:t>
      </w:r>
      <w:r>
        <w:rPr>
          <w:color w:val="auto"/>
          <w:sz w:val="32"/>
          <w:szCs w:val="32"/>
        </w:rPr>
        <w:t>通过合理归并和平整土地、坡耕地田坎修筑，实现田块规模适度、集中连片、田面平整，耕作层厚度适宜，丘陵山区梯田化率提高。</w:t>
      </w:r>
    </w:p>
    <w:p>
      <w:pPr>
        <w:bidi w:val="0"/>
        <w:rPr>
          <w:color w:val="auto"/>
          <w:sz w:val="32"/>
          <w:szCs w:val="32"/>
        </w:rPr>
      </w:pPr>
      <w:r>
        <w:rPr>
          <w:rFonts w:hint="eastAsia" w:ascii="楷体" w:hAnsi="楷体" w:eastAsia="楷体" w:cs="楷体"/>
          <w:b/>
          <w:bCs/>
          <w:color w:val="auto"/>
          <w:sz w:val="32"/>
          <w:szCs w:val="32"/>
          <w:lang w:val="en-US" w:eastAsia="zh-CN"/>
        </w:rPr>
        <w:t>（二）农田地力提升。</w:t>
      </w:r>
      <w:r>
        <w:rPr>
          <w:color w:val="auto"/>
          <w:sz w:val="32"/>
          <w:szCs w:val="32"/>
        </w:rPr>
        <w:t>通过培肥改良，实现土壤通透性能好、保水保肥能力强、酸碱平衡、有机质和营养元素丰富，着力提高耕地内在质量和产出能力。</w:t>
      </w:r>
    </w:p>
    <w:p>
      <w:pPr>
        <w:bidi w:val="0"/>
        <w:rPr>
          <w:color w:val="auto"/>
          <w:sz w:val="32"/>
          <w:szCs w:val="32"/>
        </w:rPr>
      </w:pPr>
      <w:r>
        <w:rPr>
          <w:rFonts w:hint="eastAsia" w:ascii="楷体" w:hAnsi="楷体" w:eastAsia="楷体" w:cs="楷体"/>
          <w:b/>
          <w:bCs/>
          <w:color w:val="auto"/>
          <w:sz w:val="32"/>
          <w:szCs w:val="32"/>
          <w:lang w:val="en-US" w:eastAsia="zh-CN"/>
        </w:rPr>
        <w:t>（三）灌溉和排水。</w:t>
      </w:r>
      <w:r>
        <w:rPr>
          <w:color w:val="auto"/>
          <w:sz w:val="32"/>
          <w:szCs w:val="32"/>
        </w:rPr>
        <w:t>通过加强田间灌排设施建设和推进高效节水灌溉等，增加有效灌溉面积，提高灌溉保证率、用水效率和农田防洪排涝标准，实现旱涝保收。</w:t>
      </w:r>
    </w:p>
    <w:p>
      <w:pPr>
        <w:bidi w:val="0"/>
        <w:rPr>
          <w:color w:val="auto"/>
          <w:sz w:val="32"/>
          <w:szCs w:val="32"/>
        </w:rPr>
      </w:pPr>
      <w:r>
        <w:rPr>
          <w:rFonts w:hint="eastAsia" w:ascii="楷体" w:hAnsi="楷体" w:eastAsia="楷体" w:cs="楷体"/>
          <w:b/>
          <w:bCs/>
          <w:color w:val="auto"/>
          <w:sz w:val="32"/>
          <w:szCs w:val="32"/>
          <w:lang w:val="en-US" w:eastAsia="zh-CN"/>
        </w:rPr>
        <w:t>（四）田间道路。</w:t>
      </w:r>
      <w:r>
        <w:rPr>
          <w:color w:val="auto"/>
          <w:sz w:val="32"/>
          <w:szCs w:val="32"/>
        </w:rPr>
        <w:t>通过机耕路和生产路建设、桥涵配套，合理增加路面宽度，提高道路的荷载标准和通达度，满足农机作业、生产物流要求。</w:t>
      </w:r>
    </w:p>
    <w:p>
      <w:pPr>
        <w:bidi w:val="0"/>
        <w:rPr>
          <w:rFonts w:hint="eastAsia" w:eastAsia="仿宋"/>
          <w:color w:val="auto"/>
          <w:sz w:val="32"/>
          <w:szCs w:val="32"/>
          <w:lang w:val="en-US" w:eastAsia="zh-CN"/>
        </w:rPr>
      </w:pPr>
      <w:r>
        <w:rPr>
          <w:rFonts w:hint="eastAsia" w:ascii="楷体" w:hAnsi="楷体" w:eastAsia="楷体" w:cs="楷体"/>
          <w:b/>
          <w:bCs/>
          <w:color w:val="auto"/>
          <w:sz w:val="32"/>
          <w:szCs w:val="32"/>
          <w:lang w:val="en-US" w:eastAsia="zh-CN"/>
        </w:rPr>
        <w:t>（五）农田防护与生态环境保护。</w:t>
      </w:r>
      <w:r>
        <w:rPr>
          <w:color w:val="auto"/>
          <w:sz w:val="32"/>
          <w:szCs w:val="32"/>
        </w:rPr>
        <w:t>通过农田林网、岸坡防护、沟道治理等农田防护和生态环境保护工程建设，改善农田生态环境，提高农田防御风沙灾害和防止水土流失能力。</w:t>
      </w:r>
    </w:p>
    <w:p>
      <w:pPr>
        <w:bidi w:val="0"/>
        <w:rPr>
          <w:color w:val="auto"/>
          <w:sz w:val="32"/>
          <w:szCs w:val="32"/>
        </w:rPr>
      </w:pPr>
      <w:r>
        <w:rPr>
          <w:rFonts w:hint="eastAsia" w:ascii="楷体" w:hAnsi="楷体" w:eastAsia="楷体" w:cs="楷体"/>
          <w:b/>
          <w:bCs/>
          <w:color w:val="auto"/>
          <w:sz w:val="32"/>
          <w:szCs w:val="32"/>
          <w:lang w:val="en-US" w:eastAsia="zh-CN"/>
        </w:rPr>
        <w:t>（六）农田输配电。</w:t>
      </w:r>
      <w:r>
        <w:rPr>
          <w:color w:val="auto"/>
          <w:sz w:val="32"/>
          <w:szCs w:val="32"/>
        </w:rPr>
        <w:t>通过完善农田电网、配套相应的输配电设施，满足农田设施用电需求，降低农业生产成本，提高农业生产的效率和效益。</w:t>
      </w:r>
    </w:p>
    <w:p>
      <w:pPr>
        <w:bidi w:val="0"/>
        <w:rPr>
          <w:color w:val="auto"/>
          <w:sz w:val="32"/>
          <w:szCs w:val="32"/>
        </w:rPr>
      </w:pPr>
      <w:r>
        <w:rPr>
          <w:rFonts w:hint="eastAsia" w:ascii="楷体" w:hAnsi="楷体" w:eastAsia="楷体" w:cs="楷体"/>
          <w:b/>
          <w:bCs/>
          <w:color w:val="auto"/>
          <w:sz w:val="32"/>
          <w:szCs w:val="32"/>
          <w:lang w:val="en-US" w:eastAsia="zh-CN"/>
        </w:rPr>
        <w:t>（七）科技服务。</w:t>
      </w:r>
      <w:r>
        <w:rPr>
          <w:color w:val="auto"/>
          <w:sz w:val="32"/>
          <w:szCs w:val="32"/>
        </w:rPr>
        <w:t>通过工程措施与农艺技术相结合，推广数字农业、良种良法、病虫害绿色防控、节水节肥减药等技术，提高农田可持续利用水平和综合生产能力。</w:t>
      </w:r>
    </w:p>
    <w:p>
      <w:pPr>
        <w:bidi w:val="0"/>
        <w:rPr>
          <w:color w:val="auto"/>
          <w:sz w:val="32"/>
          <w:szCs w:val="32"/>
        </w:rPr>
      </w:pPr>
      <w:r>
        <w:rPr>
          <w:rFonts w:hint="eastAsia" w:ascii="楷体" w:hAnsi="楷体" w:eastAsia="楷体" w:cs="楷体"/>
          <w:b/>
          <w:bCs/>
          <w:color w:val="auto"/>
          <w:sz w:val="32"/>
          <w:szCs w:val="32"/>
          <w:lang w:val="en-US" w:eastAsia="zh-CN"/>
        </w:rPr>
        <w:t>（八）建设管理与建后管护。</w:t>
      </w:r>
      <w:r>
        <w:rPr>
          <w:color w:val="auto"/>
          <w:sz w:val="32"/>
          <w:szCs w:val="32"/>
        </w:rPr>
        <w:t>通过全程管理，落实建后管护主体和责任、管护资金，完善管护机制，确保建成的工程设施在设计使用年限内正常运行、高标准农田用途不改变、质量有提高。</w:t>
      </w:r>
    </w:p>
    <w:p>
      <w:pPr>
        <w:rPr>
          <w:rFonts w:hint="default"/>
          <w:color w:val="auto"/>
          <w:lang w:val="en-US" w:eastAsia="zh-CN"/>
        </w:rPr>
      </w:pPr>
      <w:r>
        <w:rPr>
          <w:rFonts w:hint="default"/>
          <w:color w:val="auto"/>
          <w:lang w:val="en-US" w:eastAsia="zh-CN"/>
        </w:rPr>
        <w:br w:type="page"/>
      </w:r>
    </w:p>
    <w:p>
      <w:pPr>
        <w:pStyle w:val="3"/>
        <w:keepNext/>
        <w:keepLines/>
        <w:pageBreakBefore w:val="0"/>
        <w:widowControl w:val="0"/>
        <w:numPr>
          <w:ilvl w:val="0"/>
          <w:numId w:val="6"/>
        </w:numPr>
        <w:kinsoku/>
        <w:wordWrap/>
        <w:overflowPunct/>
        <w:topLinePunct w:val="0"/>
        <w:autoSpaceDE/>
        <w:autoSpaceDN/>
        <w:bidi w:val="0"/>
        <w:adjustRightInd/>
        <w:snapToGrid/>
        <w:spacing w:line="240" w:lineRule="auto"/>
        <w:textAlignment w:val="auto"/>
        <w:rPr>
          <w:rFonts w:hint="eastAsia"/>
          <w:b w:val="0"/>
          <w:bCs w:val="0"/>
          <w:color w:val="auto"/>
          <w:sz w:val="48"/>
          <w:szCs w:val="48"/>
          <w:lang w:val="en-US" w:eastAsia="zh-CN"/>
        </w:rPr>
      </w:pPr>
      <w:bookmarkStart w:id="64" w:name="_Toc24628_WPSOffice_Level1"/>
      <w:bookmarkStart w:id="65" w:name="_Toc8043_WPSOffice_Level1"/>
      <w:r>
        <w:rPr>
          <w:rFonts w:hint="eastAsia"/>
          <w:b w:val="0"/>
          <w:bCs w:val="0"/>
          <w:color w:val="auto"/>
          <w:sz w:val="48"/>
          <w:szCs w:val="48"/>
          <w:lang w:val="en-US" w:eastAsia="zh-CN"/>
        </w:rPr>
        <w:t>建设分区和任务安排及</w:t>
      </w:r>
      <w:r>
        <w:rPr>
          <w:b w:val="0"/>
          <w:bCs w:val="0"/>
          <w:color w:val="auto"/>
          <w:sz w:val="48"/>
          <w:szCs w:val="48"/>
          <w:lang w:val="ru-RU"/>
        </w:rPr>
        <w:t>整县推进工程试点</w:t>
      </w:r>
      <w:bookmarkEnd w:id="64"/>
      <w:bookmarkEnd w:id="65"/>
    </w:p>
    <w:p>
      <w:pPr>
        <w:pStyle w:val="4"/>
        <w:bidi w:val="0"/>
        <w:rPr>
          <w:rFonts w:hint="eastAsia"/>
          <w:b w:val="0"/>
          <w:bCs w:val="0"/>
          <w:color w:val="auto"/>
          <w:sz w:val="32"/>
          <w:szCs w:val="32"/>
          <w:lang w:val="en-US" w:eastAsia="zh-CN"/>
        </w:rPr>
      </w:pPr>
      <w:bookmarkStart w:id="66" w:name="_Toc24641_WPSOffice_Level2"/>
      <w:bookmarkStart w:id="67" w:name="_Toc21871_WPSOffice_Level2"/>
      <w:r>
        <w:rPr>
          <w:rFonts w:hint="eastAsia"/>
          <w:b w:val="0"/>
          <w:bCs w:val="0"/>
          <w:color w:val="auto"/>
          <w:sz w:val="32"/>
          <w:szCs w:val="32"/>
          <w:lang w:val="en-US" w:eastAsia="zh-CN"/>
        </w:rPr>
        <w:t>一、建设分区</w:t>
      </w:r>
      <w:bookmarkEnd w:id="66"/>
      <w:bookmarkEnd w:id="67"/>
    </w:p>
    <w:p>
      <w:pPr>
        <w:bidi w:val="0"/>
        <w:rPr>
          <w:color w:val="auto"/>
          <w:sz w:val="32"/>
          <w:szCs w:val="32"/>
        </w:rPr>
      </w:pPr>
      <w:r>
        <w:rPr>
          <w:rFonts w:hint="eastAsia"/>
          <w:color w:val="auto"/>
          <w:sz w:val="32"/>
          <w:szCs w:val="32"/>
        </w:rPr>
        <w:t>合理组织高标准农田工程建设，各县（区）依据气候特点、地形地貌、耕作制度和土地利用限制因素等，按照自然资源禀赋与经济条件相对一致、生产障碍因素与破解途径相对一致、粮食作物生产与农业区划相对一致等要求</w:t>
      </w:r>
      <w:r>
        <w:rPr>
          <w:rFonts w:hint="eastAsia"/>
          <w:color w:val="auto"/>
          <w:sz w:val="32"/>
          <w:szCs w:val="32"/>
          <w:lang w:eastAsia="zh-CN"/>
        </w:rPr>
        <w:t>，</w:t>
      </w:r>
      <w:r>
        <w:rPr>
          <w:rFonts w:hint="eastAsia"/>
          <w:color w:val="auto"/>
          <w:sz w:val="32"/>
          <w:szCs w:val="32"/>
          <w:lang w:val="en-US" w:eastAsia="zh-CN"/>
        </w:rPr>
        <w:t>将</w:t>
      </w:r>
      <w:r>
        <w:rPr>
          <w:color w:val="auto"/>
          <w:sz w:val="32"/>
          <w:szCs w:val="32"/>
        </w:rPr>
        <w:t>全</w:t>
      </w:r>
      <w:r>
        <w:rPr>
          <w:rFonts w:hint="eastAsia"/>
          <w:color w:val="auto"/>
          <w:sz w:val="32"/>
          <w:szCs w:val="32"/>
          <w:lang w:val="en-US" w:eastAsia="zh-CN"/>
        </w:rPr>
        <w:t>市</w:t>
      </w:r>
      <w:r>
        <w:rPr>
          <w:color w:val="auto"/>
          <w:sz w:val="32"/>
          <w:szCs w:val="32"/>
        </w:rPr>
        <w:t>划分为</w:t>
      </w:r>
      <w:r>
        <w:rPr>
          <w:rFonts w:hint="eastAsia"/>
          <w:color w:val="auto"/>
          <w:sz w:val="32"/>
          <w:szCs w:val="32"/>
          <w:lang w:val="en-US" w:eastAsia="zh-CN"/>
        </w:rPr>
        <w:t>圩区</w:t>
      </w:r>
      <w:r>
        <w:rPr>
          <w:color w:val="auto"/>
          <w:sz w:val="32"/>
          <w:szCs w:val="32"/>
        </w:rPr>
        <w:t>和</w:t>
      </w:r>
      <w:r>
        <w:rPr>
          <w:rFonts w:hint="eastAsia"/>
          <w:color w:val="auto"/>
          <w:sz w:val="32"/>
          <w:szCs w:val="32"/>
          <w:lang w:eastAsia="zh-CN"/>
        </w:rPr>
        <w:t>丘陵</w:t>
      </w:r>
      <w:r>
        <w:rPr>
          <w:color w:val="auto"/>
          <w:sz w:val="32"/>
          <w:szCs w:val="32"/>
        </w:rPr>
        <w:t>山区等</w:t>
      </w:r>
      <w:r>
        <w:rPr>
          <w:rFonts w:hint="eastAsia"/>
          <w:color w:val="auto"/>
          <w:sz w:val="32"/>
          <w:szCs w:val="32"/>
          <w:lang w:val="en-US" w:eastAsia="zh-CN"/>
        </w:rPr>
        <w:t>两</w:t>
      </w:r>
      <w:r>
        <w:rPr>
          <w:color w:val="auto"/>
          <w:sz w:val="32"/>
          <w:szCs w:val="32"/>
        </w:rPr>
        <w:t>个类型区，合理确定建设内容和建设重点。</w:t>
      </w:r>
    </w:p>
    <w:p>
      <w:pPr>
        <w:bidi w:val="0"/>
        <w:rPr>
          <w:rFonts w:hint="eastAsia"/>
          <w:color w:val="auto"/>
          <w:sz w:val="32"/>
          <w:szCs w:val="32"/>
        </w:rPr>
      </w:pPr>
      <w:r>
        <w:rPr>
          <w:color w:val="auto"/>
          <w:sz w:val="32"/>
          <w:szCs w:val="32"/>
        </w:rPr>
        <w:t>以类型区的永久基本农田、粮食生产功能区和重要农产品生产保护区为重点，集中力量建设高标准农田，着力打造粮食和重要农产品保障基地。新增建设项目的建设区域应相对集中，土壤适合农作物生长，无潜在地质灾害，建设区域外有相对完善、能直接为建设区提供保障的基础设施。改造提升项目应优先选择已建高标准农田中建成年份较早、投入较低等建设内容全面不达</w:t>
      </w:r>
      <w:r>
        <w:rPr>
          <w:rFonts w:hint="eastAsia"/>
          <w:color w:val="auto"/>
          <w:sz w:val="32"/>
          <w:szCs w:val="32"/>
        </w:rPr>
        <w:t>标的建设区域，对于建设内容部分达标的项目区允许各地按照“缺什么、补什么”的原则开展有针对性</w:t>
      </w:r>
      <w:r>
        <w:rPr>
          <w:color w:val="auto"/>
          <w:sz w:val="32"/>
          <w:szCs w:val="32"/>
        </w:rPr>
        <w:t>的改造提升。对建设内容达标的已建高标准农田，若在规划期内达到规定使用年限，可逐步开展改造提升。限制建设区域包括水资源贫乏区域，水土流失易发区等生态脆弱区域，历史遗留的挖损、塌陷、压占等造成土地严重损毁且难以恢复的区域，安全利用类耕地</w:t>
      </w:r>
      <w:r>
        <w:rPr>
          <w:rFonts w:hint="eastAsia"/>
          <w:color w:val="auto"/>
          <w:sz w:val="32"/>
          <w:szCs w:val="32"/>
          <w:lang w:eastAsia="zh-CN"/>
        </w:rPr>
        <w:t>区域</w:t>
      </w:r>
      <w:r>
        <w:rPr>
          <w:color w:val="auto"/>
          <w:sz w:val="32"/>
          <w:szCs w:val="32"/>
        </w:rPr>
        <w:t>，易受自然灾害损毁的区域。禁止在严格管控类耕地，自然保护地核心保护区，退耕还林区、退牧还草区，河流、湖泊、水库水面及其保护范围等区域开展高标准农田建设，防止破坏生态环境。</w:t>
      </w:r>
    </w:p>
    <w:p>
      <w:pPr>
        <w:bidi w:val="0"/>
        <w:ind w:left="0" w:leftChars="0" w:firstLine="0" w:firstLineChars="0"/>
        <w:jc w:val="center"/>
        <w:rPr>
          <w:color w:val="auto"/>
        </w:rPr>
      </w:pPr>
      <w:bookmarkStart w:id="68" w:name="_Toc8970_WPSOffice_Level2"/>
      <w:bookmarkStart w:id="69" w:name="_Toc8943_WPSOffice_Level2"/>
      <w:bookmarkStart w:id="70" w:name="_Toc26661_WPSOffice_Level2"/>
      <w:bookmarkStart w:id="71" w:name="_Toc32252_WPSOffice_Level2"/>
      <w:bookmarkStart w:id="72" w:name="_Toc1049_WPSOffice_Level2"/>
      <w:r>
        <w:rPr>
          <w:color w:val="auto"/>
        </w:rPr>
        <w:t>表2各类型区涉及的重点县（区）</w:t>
      </w:r>
      <w:bookmarkEnd w:id="68"/>
      <w:bookmarkEnd w:id="69"/>
      <w:bookmarkEnd w:id="70"/>
      <w:bookmarkEnd w:id="71"/>
      <w:bookmarkEnd w:id="72"/>
    </w:p>
    <w:tbl>
      <w:tblPr>
        <w:tblStyle w:val="14"/>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2"/>
        <w:gridCol w:w="2572"/>
        <w:gridCol w:w="4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232"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地（市）</w:t>
            </w:r>
          </w:p>
        </w:tc>
        <w:tc>
          <w:tcPr>
            <w:tcW w:w="2572"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分区</w:t>
            </w:r>
          </w:p>
        </w:tc>
        <w:tc>
          <w:tcPr>
            <w:tcW w:w="4400"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县（市、区）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232" w:type="dxa"/>
            <w:vMerge w:val="restart"/>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池州市</w:t>
            </w:r>
          </w:p>
        </w:tc>
        <w:tc>
          <w:tcPr>
            <w:tcW w:w="2572"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eastAsia="zh-CN"/>
              </w:rPr>
              <w:t>圩区</w:t>
            </w:r>
          </w:p>
        </w:tc>
        <w:tc>
          <w:tcPr>
            <w:tcW w:w="4400"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lang w:eastAsia="zh-CN"/>
              </w:rPr>
            </w:pPr>
            <w:r>
              <w:rPr>
                <w:rFonts w:hint="eastAsia" w:ascii="仿宋" w:hAnsi="仿宋" w:eastAsia="仿宋" w:cs="仿宋"/>
                <w:b/>
                <w:bCs/>
                <w:snapToGrid w:val="0"/>
                <w:color w:val="auto"/>
                <w:kern w:val="0"/>
                <w:sz w:val="28"/>
                <w:szCs w:val="28"/>
              </w:rPr>
              <w:t>贵池区</w:t>
            </w:r>
            <w:r>
              <w:rPr>
                <w:rFonts w:hint="eastAsia" w:ascii="仿宋" w:hAnsi="仿宋" w:cs="仿宋"/>
                <w:b/>
                <w:bCs/>
                <w:snapToGrid w:val="0"/>
                <w:color w:val="auto"/>
                <w:kern w:val="0"/>
                <w:sz w:val="28"/>
                <w:szCs w:val="28"/>
                <w:lang w:eastAsia="zh-CN"/>
              </w:rPr>
              <w:t>、东至县北部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2" w:type="dxa"/>
            <w:vMerge w:val="continue"/>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jc w:val="center"/>
              <w:textAlignment w:val="auto"/>
              <w:rPr>
                <w:rFonts w:hint="eastAsia" w:ascii="仿宋" w:hAnsi="仿宋" w:eastAsia="仿宋" w:cs="仿宋"/>
                <w:b/>
                <w:bCs/>
                <w:snapToGrid w:val="0"/>
                <w:color w:val="auto"/>
                <w:kern w:val="0"/>
                <w:sz w:val="28"/>
                <w:szCs w:val="28"/>
              </w:rPr>
            </w:pPr>
          </w:p>
        </w:tc>
        <w:tc>
          <w:tcPr>
            <w:tcW w:w="2572" w:type="dxa"/>
            <w:vMerge w:val="restart"/>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rPr>
            </w:pPr>
            <w:r>
              <w:rPr>
                <w:rFonts w:hint="eastAsia" w:ascii="仿宋" w:hAnsi="仿宋" w:cs="仿宋"/>
                <w:b/>
                <w:bCs/>
                <w:snapToGrid w:val="0"/>
                <w:color w:val="auto"/>
                <w:kern w:val="0"/>
                <w:sz w:val="28"/>
                <w:szCs w:val="28"/>
                <w:lang w:eastAsia="zh-CN"/>
              </w:rPr>
              <w:t>丘陵</w:t>
            </w:r>
            <w:r>
              <w:rPr>
                <w:rFonts w:hint="eastAsia" w:ascii="仿宋" w:hAnsi="仿宋" w:eastAsia="仿宋" w:cs="仿宋"/>
                <w:b/>
                <w:bCs/>
                <w:snapToGrid w:val="0"/>
                <w:color w:val="auto"/>
                <w:kern w:val="0"/>
                <w:sz w:val="28"/>
                <w:szCs w:val="28"/>
              </w:rPr>
              <w:t>山区</w:t>
            </w:r>
          </w:p>
        </w:tc>
        <w:tc>
          <w:tcPr>
            <w:tcW w:w="4400"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rPr>
            </w:pPr>
            <w:r>
              <w:rPr>
                <w:rFonts w:hint="eastAsia" w:ascii="仿宋" w:hAnsi="仿宋" w:eastAsia="仿宋" w:cs="仿宋"/>
                <w:b/>
                <w:bCs/>
                <w:snapToGrid w:val="0"/>
                <w:color w:val="auto"/>
                <w:kern w:val="0"/>
                <w:sz w:val="28"/>
                <w:szCs w:val="28"/>
                <w:shd w:val="clear" w:color="auto" w:fill="FFFFFF"/>
              </w:rPr>
              <w:t>石台县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2" w:type="dxa"/>
            <w:vMerge w:val="continue"/>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jc w:val="center"/>
              <w:textAlignment w:val="auto"/>
              <w:rPr>
                <w:rFonts w:hint="eastAsia" w:ascii="仿宋" w:hAnsi="仿宋" w:eastAsia="仿宋" w:cs="仿宋"/>
                <w:b/>
                <w:bCs/>
                <w:snapToGrid w:val="0"/>
                <w:color w:val="auto"/>
                <w:kern w:val="0"/>
                <w:sz w:val="28"/>
                <w:szCs w:val="28"/>
              </w:rPr>
            </w:pPr>
          </w:p>
        </w:tc>
        <w:tc>
          <w:tcPr>
            <w:tcW w:w="2572" w:type="dxa"/>
            <w:vMerge w:val="continue"/>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jc w:val="center"/>
              <w:textAlignment w:val="auto"/>
              <w:rPr>
                <w:rFonts w:hint="eastAsia" w:ascii="仿宋" w:hAnsi="仿宋" w:eastAsia="仿宋" w:cs="仿宋"/>
                <w:b/>
                <w:bCs/>
                <w:snapToGrid w:val="0"/>
                <w:color w:val="auto"/>
                <w:kern w:val="0"/>
                <w:sz w:val="28"/>
                <w:szCs w:val="28"/>
              </w:rPr>
            </w:pPr>
          </w:p>
        </w:tc>
        <w:tc>
          <w:tcPr>
            <w:tcW w:w="4400"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rPr>
            </w:pPr>
            <w:r>
              <w:rPr>
                <w:rFonts w:hint="eastAsia" w:ascii="仿宋" w:hAnsi="仿宋" w:eastAsia="仿宋" w:cs="仿宋"/>
                <w:b/>
                <w:bCs/>
                <w:snapToGrid w:val="0"/>
                <w:color w:val="auto"/>
                <w:kern w:val="0"/>
                <w:sz w:val="28"/>
                <w:szCs w:val="28"/>
                <w:shd w:val="clear" w:color="auto" w:fill="FFFFFF"/>
              </w:rPr>
              <w:t>青阳县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2" w:type="dxa"/>
            <w:vMerge w:val="continue"/>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jc w:val="center"/>
              <w:textAlignment w:val="auto"/>
              <w:rPr>
                <w:rFonts w:hint="eastAsia" w:ascii="仿宋" w:hAnsi="仿宋" w:eastAsia="仿宋" w:cs="仿宋"/>
                <w:b/>
                <w:bCs/>
                <w:snapToGrid w:val="0"/>
                <w:color w:val="auto"/>
                <w:kern w:val="0"/>
                <w:sz w:val="28"/>
                <w:szCs w:val="28"/>
              </w:rPr>
            </w:pPr>
          </w:p>
        </w:tc>
        <w:tc>
          <w:tcPr>
            <w:tcW w:w="2572" w:type="dxa"/>
            <w:vMerge w:val="continue"/>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jc w:val="center"/>
              <w:textAlignment w:val="auto"/>
              <w:rPr>
                <w:rFonts w:hint="eastAsia" w:ascii="仿宋" w:hAnsi="仿宋" w:eastAsia="仿宋" w:cs="仿宋"/>
                <w:b/>
                <w:bCs/>
                <w:snapToGrid w:val="0"/>
                <w:color w:val="auto"/>
                <w:kern w:val="0"/>
                <w:sz w:val="28"/>
                <w:szCs w:val="28"/>
              </w:rPr>
            </w:pPr>
          </w:p>
        </w:tc>
        <w:tc>
          <w:tcPr>
            <w:tcW w:w="4400" w:type="dxa"/>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b/>
                <w:bCs/>
                <w:snapToGrid w:val="0"/>
                <w:color w:val="auto"/>
                <w:kern w:val="0"/>
                <w:sz w:val="28"/>
                <w:szCs w:val="28"/>
                <w:lang w:eastAsia="zh-CN"/>
              </w:rPr>
            </w:pPr>
            <w:r>
              <w:rPr>
                <w:rFonts w:hint="eastAsia" w:ascii="仿宋" w:hAnsi="仿宋" w:cs="仿宋"/>
                <w:b/>
                <w:bCs/>
                <w:snapToGrid w:val="0"/>
                <w:color w:val="auto"/>
                <w:kern w:val="0"/>
                <w:sz w:val="28"/>
                <w:szCs w:val="28"/>
                <w:lang w:eastAsia="zh-CN"/>
              </w:rPr>
              <w:t>贵池区、</w:t>
            </w:r>
            <w:r>
              <w:rPr>
                <w:rFonts w:hint="eastAsia" w:ascii="仿宋" w:hAnsi="仿宋" w:eastAsia="仿宋" w:cs="仿宋"/>
                <w:b/>
                <w:bCs/>
                <w:snapToGrid w:val="0"/>
                <w:color w:val="auto"/>
                <w:kern w:val="0"/>
                <w:sz w:val="28"/>
                <w:szCs w:val="28"/>
              </w:rPr>
              <w:t>东至县</w:t>
            </w:r>
            <w:r>
              <w:rPr>
                <w:rFonts w:hint="eastAsia" w:ascii="仿宋" w:hAnsi="仿宋" w:cs="仿宋"/>
                <w:b/>
                <w:bCs/>
                <w:snapToGrid w:val="0"/>
                <w:color w:val="auto"/>
                <w:kern w:val="0"/>
                <w:sz w:val="28"/>
                <w:szCs w:val="28"/>
                <w:lang w:eastAsia="zh-CN"/>
              </w:rPr>
              <w:t>南部</w:t>
            </w:r>
          </w:p>
        </w:tc>
      </w:tr>
    </w:tbl>
    <w:p>
      <w:pPr>
        <w:numPr>
          <w:ilvl w:val="0"/>
          <w:numId w:val="7"/>
        </w:numPr>
        <w:bidi w:val="0"/>
        <w:rPr>
          <w:rFonts w:hint="eastAsia" w:ascii="楷体" w:hAnsi="楷体" w:eastAsia="楷体" w:cs="楷体"/>
          <w:color w:val="auto"/>
          <w:sz w:val="32"/>
          <w:szCs w:val="32"/>
        </w:rPr>
      </w:pPr>
      <w:bookmarkStart w:id="73" w:name="_Toc5714_WPSOffice_Level2"/>
      <w:bookmarkStart w:id="74" w:name="_Toc23776_WPSOffice_Level2"/>
      <w:bookmarkStart w:id="75" w:name="_Toc19206_WPSOffice_Level2"/>
      <w:r>
        <w:rPr>
          <w:rFonts w:hint="eastAsia" w:ascii="楷体" w:hAnsi="楷体" w:eastAsia="楷体" w:cs="楷体"/>
          <w:color w:val="auto"/>
          <w:sz w:val="32"/>
          <w:szCs w:val="32"/>
          <w:lang w:eastAsia="zh-CN"/>
        </w:rPr>
        <w:t>圩区</w:t>
      </w:r>
      <w:bookmarkEnd w:id="73"/>
      <w:bookmarkEnd w:id="74"/>
      <w:bookmarkEnd w:id="75"/>
    </w:p>
    <w:p>
      <w:pPr>
        <w:bidi w:val="0"/>
        <w:ind w:left="0" w:leftChars="0" w:firstLine="640" w:firstLineChars="200"/>
        <w:rPr>
          <w:color w:val="auto"/>
          <w:sz w:val="32"/>
          <w:szCs w:val="32"/>
        </w:rPr>
      </w:pPr>
      <w:r>
        <w:rPr>
          <w:color w:val="auto"/>
          <w:sz w:val="32"/>
          <w:szCs w:val="32"/>
        </w:rPr>
        <w:t>贵池区</w:t>
      </w:r>
      <w:r>
        <w:rPr>
          <w:rFonts w:hint="eastAsia"/>
          <w:color w:val="auto"/>
          <w:sz w:val="32"/>
          <w:szCs w:val="32"/>
          <w:lang w:eastAsia="zh-CN"/>
        </w:rPr>
        <w:t>、东至县北部属于</w:t>
      </w:r>
      <w:r>
        <w:rPr>
          <w:rFonts w:hint="eastAsia"/>
          <w:color w:val="auto"/>
          <w:sz w:val="32"/>
          <w:szCs w:val="32"/>
        </w:rPr>
        <w:t>圩区</w:t>
      </w:r>
      <w:r>
        <w:rPr>
          <w:rFonts w:hint="eastAsia"/>
          <w:color w:val="auto"/>
          <w:sz w:val="32"/>
          <w:szCs w:val="32"/>
          <w:lang w:eastAsia="zh-CN"/>
        </w:rPr>
        <w:t>地型，</w:t>
      </w:r>
      <w:r>
        <w:rPr>
          <w:rFonts w:hint="eastAsia"/>
          <w:color w:val="auto"/>
          <w:sz w:val="32"/>
          <w:szCs w:val="32"/>
          <w:lang w:val="en-US" w:eastAsia="zh-CN"/>
        </w:rPr>
        <w:t>本</w:t>
      </w:r>
      <w:r>
        <w:rPr>
          <w:rFonts w:hint="eastAsia"/>
          <w:color w:val="auto"/>
          <w:sz w:val="32"/>
          <w:szCs w:val="32"/>
        </w:rPr>
        <w:t>区地处暖温带与亚热带的过渡地带，属亚热季风性湿润气候区。气候温和，雨量适中，光照充足。适宜农作物生长时期大约为3月至11月</w:t>
      </w:r>
      <w:r>
        <w:rPr>
          <w:color w:val="auto"/>
          <w:sz w:val="32"/>
          <w:szCs w:val="32"/>
        </w:rPr>
        <w:t>。</w:t>
      </w:r>
      <w:r>
        <w:rPr>
          <w:rFonts w:hint="eastAsia"/>
          <w:color w:val="auto"/>
          <w:sz w:val="32"/>
          <w:szCs w:val="32"/>
        </w:rPr>
        <w:t>本</w:t>
      </w:r>
      <w:r>
        <w:rPr>
          <w:rFonts w:hint="eastAsia"/>
          <w:color w:val="auto"/>
          <w:sz w:val="32"/>
          <w:szCs w:val="32"/>
          <w:lang w:eastAsia="zh-CN"/>
        </w:rPr>
        <w:t>区</w:t>
      </w:r>
      <w:r>
        <w:rPr>
          <w:rFonts w:hint="eastAsia"/>
          <w:color w:val="auto"/>
          <w:sz w:val="32"/>
          <w:szCs w:val="32"/>
        </w:rPr>
        <w:t>土壤基本上分潮土、水稻土</w:t>
      </w:r>
      <w:r>
        <w:rPr>
          <w:color w:val="auto"/>
          <w:sz w:val="32"/>
          <w:szCs w:val="32"/>
        </w:rPr>
        <w:t>。土壤立地条件较好，土壤养分处于中等水平，耕地质量等级以中等偏上为主。夏季高温多雨,冬季温和少雨，年降水量1</w:t>
      </w:r>
      <w:r>
        <w:rPr>
          <w:rFonts w:hint="eastAsia"/>
          <w:color w:val="auto"/>
          <w:sz w:val="32"/>
          <w:szCs w:val="32"/>
          <w:lang w:val="en-US" w:eastAsia="zh-CN"/>
        </w:rPr>
        <w:t>4</w:t>
      </w:r>
      <w:r>
        <w:rPr>
          <w:color w:val="auto"/>
          <w:sz w:val="32"/>
          <w:szCs w:val="32"/>
        </w:rPr>
        <w:t>00～1</w:t>
      </w:r>
      <w:r>
        <w:rPr>
          <w:rFonts w:hint="eastAsia"/>
          <w:color w:val="auto"/>
          <w:sz w:val="32"/>
          <w:szCs w:val="32"/>
          <w:lang w:val="en-US" w:eastAsia="zh-CN"/>
        </w:rPr>
        <w:t>6</w:t>
      </w:r>
      <w:r>
        <w:rPr>
          <w:color w:val="auto"/>
          <w:sz w:val="32"/>
          <w:szCs w:val="32"/>
        </w:rPr>
        <w:t>00mm，水资源丰富，水网发达，灌溉水源充足。农作物以一年两熟或三熟为主，是我</w:t>
      </w:r>
      <w:r>
        <w:rPr>
          <w:rFonts w:hint="eastAsia"/>
          <w:color w:val="auto"/>
          <w:sz w:val="32"/>
          <w:szCs w:val="32"/>
          <w:lang w:val="en-US" w:eastAsia="zh-CN"/>
        </w:rPr>
        <w:t>市</w:t>
      </w:r>
      <w:r>
        <w:rPr>
          <w:color w:val="auto"/>
          <w:sz w:val="32"/>
          <w:szCs w:val="32"/>
        </w:rPr>
        <w:t>水稻、油菜籽和棉花的重要产区。</w:t>
      </w:r>
    </w:p>
    <w:p>
      <w:pPr>
        <w:bidi w:val="0"/>
        <w:rPr>
          <w:color w:val="auto"/>
          <w:sz w:val="32"/>
          <w:szCs w:val="32"/>
        </w:rPr>
      </w:pPr>
      <w:r>
        <w:rPr>
          <w:color w:val="auto"/>
          <w:sz w:val="32"/>
          <w:szCs w:val="32"/>
        </w:rPr>
        <w:t>农田基础设施配套不足，田间道路、灌排、输配电和农田防护与生态环境保护等工程设施参差不齐。已建高标准农田标准不高，防洪抗旱能力不足，部分项目因工程设施不配套、老化或损毁，长期带病运行，改造提升需求迫切。</w:t>
      </w:r>
    </w:p>
    <w:p>
      <w:pPr>
        <w:bidi w:val="0"/>
        <w:rPr>
          <w:color w:val="auto"/>
          <w:sz w:val="32"/>
          <w:szCs w:val="32"/>
        </w:rPr>
      </w:pPr>
      <w:r>
        <w:rPr>
          <w:color w:val="auto"/>
          <w:sz w:val="32"/>
          <w:szCs w:val="32"/>
        </w:rPr>
        <w:t>规划期内应加强农田防护工程建设，提升圩区、渍害严重区农田防洪除涝能力，有序推进高标准农田新增建设和改造提升，重点建设水稻、油菜籽、小麦、</w:t>
      </w:r>
      <w:r>
        <w:rPr>
          <w:rFonts w:hint="eastAsia"/>
          <w:color w:val="auto"/>
          <w:sz w:val="32"/>
          <w:szCs w:val="32"/>
          <w:lang w:eastAsia="zh-CN"/>
        </w:rPr>
        <w:t>玉米、</w:t>
      </w:r>
      <w:r>
        <w:rPr>
          <w:color w:val="auto"/>
          <w:sz w:val="32"/>
          <w:szCs w:val="32"/>
        </w:rPr>
        <w:t>棉花等保障基地。</w:t>
      </w:r>
    </w:p>
    <w:p>
      <w:pPr>
        <w:bidi w:val="0"/>
        <w:rPr>
          <w:color w:val="auto"/>
          <w:sz w:val="32"/>
          <w:szCs w:val="32"/>
        </w:rPr>
      </w:pPr>
      <w:r>
        <w:rPr>
          <w:color w:val="auto"/>
          <w:sz w:val="32"/>
          <w:szCs w:val="32"/>
        </w:rPr>
        <w:t>1.开展土地平整，提高田块归并、集中度，适应规模化经营和机械化生产需要。合理划分和适度归并耕作田块，根据圩畈区田块之间落差低的特点，可适当放大耕作田块长宽度，适度提高单块田面积，提升农机化作业效率，耕种收综合机械化率</w:t>
      </w:r>
      <w:r>
        <w:rPr>
          <w:rFonts w:hint="eastAsia"/>
          <w:color w:val="auto"/>
          <w:sz w:val="32"/>
          <w:szCs w:val="32"/>
          <w:lang w:val="en-US" w:eastAsia="zh-CN"/>
        </w:rPr>
        <w:t>85%</w:t>
      </w:r>
      <w:r>
        <w:rPr>
          <w:color w:val="auto"/>
          <w:sz w:val="32"/>
          <w:szCs w:val="32"/>
        </w:rPr>
        <w:t>以上。土地平整后，耕作层厚度达到</w:t>
      </w:r>
      <w:r>
        <w:rPr>
          <w:color w:val="auto"/>
          <w:sz w:val="32"/>
          <w:szCs w:val="32"/>
          <w:highlight w:val="none"/>
        </w:rPr>
        <w:t>2</w:t>
      </w:r>
      <w:r>
        <w:rPr>
          <w:rFonts w:hint="eastAsia"/>
          <w:color w:val="auto"/>
          <w:sz w:val="32"/>
          <w:szCs w:val="32"/>
          <w:highlight w:val="none"/>
          <w:lang w:val="en-US" w:eastAsia="zh-CN"/>
        </w:rPr>
        <w:t>0</w:t>
      </w:r>
      <w:r>
        <w:rPr>
          <w:color w:val="auto"/>
          <w:sz w:val="32"/>
          <w:szCs w:val="32"/>
          <w:highlight w:val="none"/>
        </w:rPr>
        <w:t>cm</w:t>
      </w:r>
      <w:r>
        <w:rPr>
          <w:color w:val="auto"/>
          <w:sz w:val="32"/>
          <w:szCs w:val="32"/>
        </w:rPr>
        <w:t>以上，有效土层厚度达到</w:t>
      </w:r>
      <w:r>
        <w:rPr>
          <w:rFonts w:hint="eastAsia"/>
          <w:color w:val="auto"/>
          <w:sz w:val="32"/>
          <w:szCs w:val="32"/>
          <w:lang w:val="en-US" w:eastAsia="zh-CN"/>
        </w:rPr>
        <w:t>60</w:t>
      </w:r>
      <w:r>
        <w:rPr>
          <w:color w:val="auto"/>
          <w:sz w:val="32"/>
          <w:szCs w:val="32"/>
        </w:rPr>
        <w:t>cm以上。实现耕作田块集中连片、田面平整，努力打造一批万亩集中连片的水稻高标准农田示范片。</w:t>
      </w:r>
    </w:p>
    <w:p>
      <w:pPr>
        <w:bidi w:val="0"/>
        <w:rPr>
          <w:color w:val="auto"/>
          <w:sz w:val="32"/>
          <w:szCs w:val="32"/>
        </w:rPr>
      </w:pPr>
      <w:r>
        <w:rPr>
          <w:color w:val="auto"/>
          <w:sz w:val="32"/>
          <w:szCs w:val="32"/>
        </w:rPr>
        <w:t>2.实施土壤改良，增施有机肥，培肥土壤地力，满足水稻高产需要。通过秸秆还田、测土配方施肥、推广绿肥种植等途径，改善土壤结构和肥力状况。使土壤有机质含量达到20g/kg以上，耕地质量等级达到4等以上，土壤肥力得到显著改善。积极推广测土配方施肥，使测土配方施肥覆盖率达到95%以上。加强重金属污染土地治理，因地制宜改良土壤潜育化障碍。</w:t>
      </w:r>
    </w:p>
    <w:p>
      <w:pPr>
        <w:bidi w:val="0"/>
        <w:rPr>
          <w:color w:val="auto"/>
          <w:sz w:val="32"/>
          <w:szCs w:val="32"/>
        </w:rPr>
      </w:pPr>
      <w:r>
        <w:rPr>
          <w:color w:val="auto"/>
          <w:sz w:val="32"/>
          <w:szCs w:val="32"/>
        </w:rPr>
        <w:t>3.加强灌排沟渠建设，改造提升灌排设施，完善配套灌排体系。整治现有圩畈区，加强农田排灌基础设施配套建设，构建灌排自如、旱涝保收的农田水利体系，重点解决区域性渍涝灾害问题。更新改造灌溉排水涵闸、泵站，疏浚改造排水沟系，降低地下水位。推广水稻智能节水灌溉技术，改善灌溉手段，提高水资源利用效率。使水稻区灌溉保证率达到90%，农田排水设计暴雨重现期达到10年一遇，1～3d暴雨</w:t>
      </w:r>
      <w:r>
        <w:rPr>
          <w:rFonts w:hint="eastAsia"/>
          <w:color w:val="auto"/>
          <w:sz w:val="32"/>
          <w:szCs w:val="32"/>
          <w:lang w:val="en-US" w:eastAsia="zh-CN"/>
        </w:rPr>
        <w:t>3</w:t>
      </w:r>
      <w:r>
        <w:rPr>
          <w:color w:val="auto"/>
          <w:sz w:val="32"/>
          <w:szCs w:val="32"/>
        </w:rPr>
        <w:t>～</w:t>
      </w:r>
      <w:r>
        <w:rPr>
          <w:rFonts w:hint="eastAsia"/>
          <w:color w:val="auto"/>
          <w:sz w:val="32"/>
          <w:szCs w:val="32"/>
          <w:lang w:val="en-US" w:eastAsia="zh-CN"/>
        </w:rPr>
        <w:t>5</w:t>
      </w:r>
      <w:r>
        <w:rPr>
          <w:color w:val="auto"/>
          <w:sz w:val="32"/>
          <w:szCs w:val="32"/>
        </w:rPr>
        <w:t>d排至作物耐淹水深。</w:t>
      </w:r>
    </w:p>
    <w:p>
      <w:pPr>
        <w:bidi w:val="0"/>
        <w:rPr>
          <w:color w:val="auto"/>
          <w:sz w:val="32"/>
          <w:szCs w:val="32"/>
        </w:rPr>
      </w:pPr>
      <w:r>
        <w:rPr>
          <w:color w:val="auto"/>
          <w:sz w:val="32"/>
          <w:szCs w:val="32"/>
        </w:rPr>
        <w:t>4.进行农田路网建设，合理确定路网密度，适应农机化对生产道路的需要。整修和新建</w:t>
      </w:r>
      <w:r>
        <w:rPr>
          <w:rFonts w:hint="eastAsia"/>
          <w:color w:val="auto"/>
          <w:sz w:val="32"/>
          <w:szCs w:val="32"/>
          <w:lang w:eastAsia="zh-CN"/>
        </w:rPr>
        <w:t>机耕路</w:t>
      </w:r>
      <w:r>
        <w:rPr>
          <w:color w:val="auto"/>
          <w:sz w:val="32"/>
          <w:szCs w:val="32"/>
        </w:rPr>
        <w:t>、生产路和下田坡道或下田涵管，合理确定田间道路的密度和宽度，保证道路顺畅、循环，田间道路通达度达到100%。机耕路的路面宽度3～6m，宜采用混凝土、碎石等材质的硬化道路；生产路面宽度控制在3m以内，优先采用土质路，也可采用砂石路、泥结碎石路、石板路等。</w:t>
      </w:r>
    </w:p>
    <w:p>
      <w:pPr>
        <w:bidi w:val="0"/>
        <w:rPr>
          <w:rFonts w:ascii="Times New Roman" w:hAnsi="Times New Roman" w:eastAsia="方正仿宋_GBK"/>
          <w:snapToGrid w:val="0"/>
          <w:color w:val="auto"/>
          <w:kern w:val="0"/>
          <w:sz w:val="32"/>
          <w:szCs w:val="32"/>
        </w:rPr>
      </w:pPr>
      <w:r>
        <w:rPr>
          <w:color w:val="auto"/>
          <w:sz w:val="32"/>
          <w:szCs w:val="32"/>
        </w:rPr>
        <w:t>5.强化农田防护林网建设，实行全面规划、综合治理，适应农田防护和生态环境保持需要，与田块、沟渠、道路等工程有机衔接，与农村居民点景观建设相协调。在有显著主害风的地区，应采取长方形网格配置，尽可能与生态林、环村林等相结合。选择适宜乡土树种，林木成活率达到90%以上，三年后保存率达到85%以上，林相整齐，结构合理。合理布置截水沟、排洪沟等工程，系统拦蓄和排泄坡面径流。在沟道岸顶、坡面和水边，应利用植物的根、茎、叶来护岸固坡，形成自然生态型防护工程。</w:t>
      </w:r>
    </w:p>
    <w:p>
      <w:pPr>
        <w:bidi w:val="0"/>
        <w:rPr>
          <w:rFonts w:hint="eastAsia" w:ascii="楷体" w:hAnsi="楷体" w:eastAsia="楷体" w:cs="楷体"/>
          <w:color w:val="auto"/>
          <w:lang w:eastAsia="zh-CN"/>
        </w:rPr>
      </w:pPr>
      <w:bookmarkStart w:id="76" w:name="_Toc15530_WPSOffice_Level2"/>
      <w:bookmarkStart w:id="77" w:name="_Toc17545_WPSOffice_Level2"/>
      <w:bookmarkStart w:id="78" w:name="_Toc32078_WPSOffice_Level2"/>
      <w:bookmarkStart w:id="79" w:name="_Toc7111_WPSOffice_Level2"/>
      <w:bookmarkStart w:id="80" w:name="_Toc10057_WPSOffice_Level2"/>
      <w:r>
        <w:rPr>
          <w:rFonts w:hint="eastAsia" w:ascii="楷体" w:hAnsi="楷体" w:eastAsia="楷体" w:cs="楷体"/>
          <w:color w:val="auto"/>
        </w:rPr>
        <w:t>（</w:t>
      </w:r>
      <w:r>
        <w:rPr>
          <w:rFonts w:hint="eastAsia" w:ascii="楷体" w:hAnsi="楷体" w:eastAsia="楷体" w:cs="楷体"/>
          <w:color w:val="auto"/>
          <w:lang w:val="en-US" w:eastAsia="zh-CN"/>
        </w:rPr>
        <w:t>二</w:t>
      </w:r>
      <w:r>
        <w:rPr>
          <w:rFonts w:hint="eastAsia" w:ascii="楷体" w:hAnsi="楷体" w:eastAsia="楷体" w:cs="楷体"/>
          <w:color w:val="auto"/>
        </w:rPr>
        <w:t>）</w:t>
      </w:r>
      <w:r>
        <w:rPr>
          <w:rFonts w:hint="eastAsia" w:ascii="楷体" w:hAnsi="楷体" w:eastAsia="楷体" w:cs="楷体"/>
          <w:color w:val="auto"/>
          <w:lang w:eastAsia="zh-CN"/>
        </w:rPr>
        <w:t>丘陵</w:t>
      </w:r>
      <w:r>
        <w:rPr>
          <w:rFonts w:hint="eastAsia" w:ascii="楷体" w:hAnsi="楷体" w:eastAsia="楷体" w:cs="楷体"/>
          <w:color w:val="auto"/>
        </w:rPr>
        <w:t>山区</w:t>
      </w:r>
      <w:bookmarkEnd w:id="76"/>
      <w:bookmarkEnd w:id="77"/>
      <w:bookmarkEnd w:id="78"/>
      <w:bookmarkEnd w:id="79"/>
      <w:bookmarkEnd w:id="80"/>
    </w:p>
    <w:p>
      <w:pPr>
        <w:bidi w:val="0"/>
        <w:ind w:left="0" w:leftChars="0" w:firstLine="640" w:firstLineChars="200"/>
        <w:rPr>
          <w:color w:val="auto"/>
          <w:sz w:val="32"/>
          <w:szCs w:val="32"/>
        </w:rPr>
      </w:pPr>
      <w:r>
        <w:rPr>
          <w:rFonts w:hint="eastAsia"/>
          <w:color w:val="auto"/>
          <w:sz w:val="32"/>
          <w:szCs w:val="32"/>
          <w:lang w:val="en-US" w:eastAsia="zh-CN"/>
        </w:rPr>
        <w:t>石台县、青阳县、贵池区南部和东至县南部属于</w:t>
      </w:r>
      <w:r>
        <w:rPr>
          <w:rFonts w:hint="eastAsia"/>
          <w:color w:val="auto"/>
          <w:sz w:val="32"/>
          <w:szCs w:val="32"/>
          <w:lang w:eastAsia="zh-CN"/>
        </w:rPr>
        <w:t>丘陵山区地型</w:t>
      </w:r>
      <w:r>
        <w:rPr>
          <w:color w:val="auto"/>
          <w:sz w:val="32"/>
          <w:szCs w:val="32"/>
        </w:rPr>
        <w:t>。本区气候温暖湿润，属于亚热带湿润地区，光热水等自然条件好。山地以林茶生产为主，是全省最重要的林茶基地和全国著名茶区；山坳谷地和河湖畈地，以水稻和油菜种植为主。</w:t>
      </w:r>
    </w:p>
    <w:p>
      <w:pPr>
        <w:bidi w:val="0"/>
        <w:rPr>
          <w:color w:val="auto"/>
          <w:sz w:val="32"/>
          <w:szCs w:val="32"/>
        </w:rPr>
      </w:pPr>
      <w:r>
        <w:rPr>
          <w:color w:val="auto"/>
          <w:sz w:val="32"/>
          <w:szCs w:val="32"/>
        </w:rPr>
        <w:t>土壤类型以黄壤、红壤、红黄壤、棕红壤为主，保水、保肥能力差。灌溉以水库自流灌溉或河塘提水灌溉为主，水流失严重。山地田块较小，有一定坡度，宜机化程度低。夏季降水集中，山洪易发，水土流失严重。已建高标准农田老化损毁严重，改造提升需求迫切。</w:t>
      </w:r>
    </w:p>
    <w:p>
      <w:pPr>
        <w:bidi w:val="0"/>
        <w:rPr>
          <w:rFonts w:hint="eastAsia" w:eastAsia="仿宋"/>
          <w:color w:val="auto"/>
          <w:sz w:val="32"/>
          <w:szCs w:val="32"/>
          <w:lang w:val="en-US" w:eastAsia="zh-CN"/>
        </w:rPr>
      </w:pPr>
      <w:r>
        <w:rPr>
          <w:color w:val="auto"/>
          <w:sz w:val="32"/>
          <w:szCs w:val="32"/>
        </w:rPr>
        <w:t>1.开展土地整治，修筑水平梯田，提高田块平整度。梯田田面长边平行等高线布置，长度为100～200m，田面宽度应便于机械作业和田间管理；水田区耕作田块内部布置格田，格田长度为30～120m，宽度为10～40m。因地制宜构筑土坎、石坎、土石混合坎或植物坎，在易造成冲刷的土石山区，结合石块、砾石的清理，就地取材修筑石坎；在土质黏性较好的区域，采用土坎；在土质稳定性较差、易造成水土流失的地区，采用石坎、土石混合坎或植物坎。梯田土坎高度不超过2m，石坎高度不超过3m。合理修筑截水沟、排洪沟等坡面水系工程和谷坊、沟头防护等沟道治理工程设施，大幅提高系统拦蓄和排泄坡面径流能力。根据田块坡度情况，修筑水平梯田，水田田面平整度±3cm，田块高差宜50～200cm。</w:t>
      </w:r>
    </w:p>
    <w:p>
      <w:pPr>
        <w:bidi w:val="0"/>
        <w:rPr>
          <w:color w:val="auto"/>
          <w:sz w:val="32"/>
          <w:szCs w:val="32"/>
        </w:rPr>
      </w:pPr>
      <w:r>
        <w:rPr>
          <w:color w:val="auto"/>
          <w:sz w:val="32"/>
          <w:szCs w:val="32"/>
        </w:rPr>
        <w:t>2.进行土壤改良，培肥土壤地力。通过秸秆还田、增施有机肥和测土配方施肥等措施，培肥地力；建设田间积肥设施，配套小型积肥、运肥等辅助设施；增施酸性土壤改良剂，改良酸化土壤。加大力度，推广紫云英等绿肥种植，改善土壤结构和肥力状况。土壤有机质含量达到15g/kg以上，土壤pH值保持在5.5以上。实施测土配方施肥，测土配方施肥覆盖率达到95%以上。</w:t>
      </w:r>
    </w:p>
    <w:p>
      <w:pPr>
        <w:bidi w:val="0"/>
        <w:rPr>
          <w:color w:val="auto"/>
          <w:sz w:val="32"/>
          <w:szCs w:val="32"/>
        </w:rPr>
      </w:pPr>
      <w:r>
        <w:rPr>
          <w:color w:val="auto"/>
          <w:sz w:val="32"/>
          <w:szCs w:val="32"/>
        </w:rPr>
        <w:t>3.加强灌排沟渠建设，改造提升田间灌排设施，完善配套灌排体系。建设、改造塘（堰）坝、水池、泵站、傍山引洪渠道等小型水源工程，提高供水保障能力。新建、改造拦蓄设施，大幅提高系统拦蓄和排泄坡面径流能力，合理利用水资源，增加有效灌溉面积，提高供水保障和防洪能力。山地旱作区建设滴灌、微灌、水肥一体化等高效节水灌溉工程，提高水资源利用率；稻作区灌溉，加强水稻智能节水灌溉、管道输水灌溉等技术的应用，灌溉保证率达到80%。</w:t>
      </w:r>
    </w:p>
    <w:p>
      <w:pPr>
        <w:bidi w:val="0"/>
        <w:rPr>
          <w:color w:val="auto"/>
          <w:sz w:val="32"/>
          <w:szCs w:val="32"/>
        </w:rPr>
      </w:pPr>
      <w:r>
        <w:rPr>
          <w:color w:val="auto"/>
          <w:sz w:val="32"/>
          <w:szCs w:val="32"/>
        </w:rPr>
        <w:t>4.因地制宜，开展农田道路建设，进行道路宜机化改造。结合村道规划，以项目区为单元设计田间道路。整修和新建田间道、生产路和下田坡道或下田管涵等附属设施，满足农机田间作业、田间生产管理、农产品运输、农民交通出行的要求。进行道路宜机化改造，机耕路、生产路宜采用混凝土、砌石、碎石等材质的硬化道路，田间道路通达度达到90%以上。</w:t>
      </w:r>
    </w:p>
    <w:p>
      <w:pPr>
        <w:bidi w:val="0"/>
        <w:rPr>
          <w:rFonts w:hint="default"/>
          <w:color w:val="auto"/>
          <w:sz w:val="32"/>
          <w:szCs w:val="32"/>
          <w:lang w:val="en-US" w:eastAsia="zh-CN"/>
        </w:rPr>
      </w:pPr>
      <w:r>
        <w:rPr>
          <w:color w:val="auto"/>
          <w:sz w:val="32"/>
          <w:szCs w:val="32"/>
        </w:rPr>
        <w:t>5.实施农田生态防护林建设，建设生态型沟渠，强化农田水土保持和生态环境保护。新建、修复防护林带，开展水土流失综合治理，提高农业生态安全性，保持生态平衡。农田防护工程与农村居民点景观建设相协调，实施岸坡防护、沟渠治理和坡面防护工程。合理修建灌溉水渠、排洪沟等工程，建设生态型沟渠，达到防洪、防止水土流失双重作用。</w:t>
      </w:r>
    </w:p>
    <w:p>
      <w:pPr>
        <w:pStyle w:val="4"/>
        <w:bidi w:val="0"/>
        <w:rPr>
          <w:rFonts w:hint="default"/>
          <w:b w:val="0"/>
          <w:bCs w:val="0"/>
          <w:color w:val="auto"/>
          <w:lang w:val="en-US" w:eastAsia="zh-CN"/>
        </w:rPr>
      </w:pPr>
      <w:bookmarkStart w:id="81" w:name="_Toc22523_WPSOffice_Level2"/>
      <w:bookmarkStart w:id="82" w:name="_Toc9538_WPSOffice_Level2"/>
      <w:r>
        <w:rPr>
          <w:rFonts w:hint="eastAsia"/>
          <w:b w:val="0"/>
          <w:bCs w:val="0"/>
          <w:color w:val="auto"/>
          <w:lang w:val="en-US" w:eastAsia="zh-CN"/>
        </w:rPr>
        <w:t>二、任务安排</w:t>
      </w:r>
      <w:bookmarkEnd w:id="81"/>
      <w:bookmarkEnd w:id="82"/>
    </w:p>
    <w:p>
      <w:pPr>
        <w:bidi w:val="0"/>
        <w:rPr>
          <w:rFonts w:hint="eastAsia"/>
          <w:color w:val="auto"/>
          <w:sz w:val="32"/>
          <w:szCs w:val="32"/>
          <w:lang w:val="en-US" w:eastAsia="zh-CN"/>
        </w:rPr>
      </w:pPr>
      <w:r>
        <w:rPr>
          <w:color w:val="auto"/>
          <w:sz w:val="32"/>
          <w:szCs w:val="32"/>
        </w:rPr>
        <w:t>根据《</w:t>
      </w:r>
      <w:r>
        <w:rPr>
          <w:rFonts w:hint="eastAsia"/>
          <w:color w:val="auto"/>
          <w:sz w:val="32"/>
          <w:szCs w:val="32"/>
          <w:lang w:val="en-US" w:eastAsia="zh-CN"/>
        </w:rPr>
        <w:t>安徽省</w:t>
      </w:r>
      <w:r>
        <w:rPr>
          <w:color w:val="auto"/>
          <w:sz w:val="32"/>
          <w:szCs w:val="32"/>
        </w:rPr>
        <w:t>高标准农田建设规划（2021－2030年）》，全</w:t>
      </w:r>
      <w:r>
        <w:rPr>
          <w:rFonts w:hint="eastAsia"/>
          <w:color w:val="auto"/>
          <w:sz w:val="32"/>
          <w:szCs w:val="32"/>
          <w:lang w:val="en-US" w:eastAsia="zh-CN"/>
        </w:rPr>
        <w:t>市</w:t>
      </w:r>
      <w:r>
        <w:rPr>
          <w:color w:val="auto"/>
          <w:sz w:val="32"/>
          <w:szCs w:val="32"/>
        </w:rPr>
        <w:t>到2025年建成</w:t>
      </w:r>
      <w:r>
        <w:rPr>
          <w:rFonts w:hint="eastAsia"/>
          <w:color w:val="auto"/>
          <w:sz w:val="32"/>
          <w:szCs w:val="32"/>
          <w:lang w:val="en-US" w:eastAsia="zh-CN"/>
        </w:rPr>
        <w:t>148.85</w:t>
      </w:r>
      <w:r>
        <w:rPr>
          <w:color w:val="auto"/>
          <w:sz w:val="32"/>
          <w:szCs w:val="32"/>
        </w:rPr>
        <w:t>万亩、2030年建成</w:t>
      </w:r>
      <w:r>
        <w:rPr>
          <w:rFonts w:hint="eastAsia"/>
          <w:color w:val="auto"/>
          <w:sz w:val="32"/>
          <w:szCs w:val="32"/>
          <w:lang w:val="en-US" w:eastAsia="zh-CN"/>
        </w:rPr>
        <w:t>159.85</w:t>
      </w:r>
      <w:r>
        <w:rPr>
          <w:color w:val="auto"/>
          <w:sz w:val="32"/>
          <w:szCs w:val="32"/>
        </w:rPr>
        <w:t>万亩高标准农田。其中，2021－2022年新增建设</w:t>
      </w:r>
      <w:r>
        <w:rPr>
          <w:rFonts w:hint="eastAsia"/>
          <w:color w:val="auto"/>
          <w:sz w:val="32"/>
          <w:szCs w:val="32"/>
          <w:lang w:val="en-US" w:eastAsia="zh-CN"/>
        </w:rPr>
        <w:t>30</w:t>
      </w:r>
      <w:r>
        <w:rPr>
          <w:color w:val="auto"/>
          <w:sz w:val="32"/>
          <w:szCs w:val="32"/>
        </w:rPr>
        <w:t>万亩；2023－2030年新增建设</w:t>
      </w:r>
      <w:r>
        <w:rPr>
          <w:rFonts w:hint="eastAsia"/>
          <w:color w:val="auto"/>
          <w:sz w:val="32"/>
          <w:szCs w:val="32"/>
          <w:lang w:val="en-US" w:eastAsia="zh-CN"/>
        </w:rPr>
        <w:t>21</w:t>
      </w:r>
      <w:r>
        <w:rPr>
          <w:color w:val="auto"/>
          <w:sz w:val="32"/>
          <w:szCs w:val="32"/>
        </w:rPr>
        <w:t>万亩，同时改造提升</w:t>
      </w:r>
      <w:r>
        <w:rPr>
          <w:rFonts w:hint="eastAsia"/>
          <w:color w:val="auto"/>
          <w:sz w:val="32"/>
          <w:szCs w:val="32"/>
          <w:lang w:val="en-US" w:eastAsia="zh-CN"/>
        </w:rPr>
        <w:t>62</w:t>
      </w:r>
      <w:r>
        <w:rPr>
          <w:color w:val="auto"/>
          <w:sz w:val="32"/>
          <w:szCs w:val="32"/>
        </w:rPr>
        <w:t>万亩高标准农田。2021－2030年完成</w:t>
      </w:r>
      <w:r>
        <w:rPr>
          <w:rFonts w:hint="eastAsia"/>
          <w:color w:val="auto"/>
          <w:sz w:val="32"/>
          <w:szCs w:val="32"/>
          <w:lang w:val="en-US" w:eastAsia="zh-CN"/>
        </w:rPr>
        <w:t>0.1</w:t>
      </w:r>
      <w:r>
        <w:rPr>
          <w:color w:val="auto"/>
          <w:sz w:val="32"/>
          <w:szCs w:val="32"/>
        </w:rPr>
        <w:t>万亩新增高效节水灌溉建设任务。</w:t>
      </w:r>
    </w:p>
    <w:p>
      <w:pPr>
        <w:bidi w:val="0"/>
        <w:jc w:val="center"/>
        <w:rPr>
          <w:color w:val="auto"/>
        </w:rPr>
      </w:pPr>
      <w:bookmarkStart w:id="83" w:name="_Toc10850_WPSOffice_Level2"/>
      <w:bookmarkStart w:id="84" w:name="_Toc21502_WPSOffice_Level2"/>
      <w:bookmarkStart w:id="85" w:name="_Toc21636_WPSOffice_Level2"/>
      <w:bookmarkStart w:id="86" w:name="_Toc28384_WPSOffice_Level2"/>
      <w:bookmarkStart w:id="87" w:name="_Toc10561_WPSOffice_Level2"/>
      <w:r>
        <w:rPr>
          <w:color w:val="auto"/>
        </w:rPr>
        <w:t>表3各</w:t>
      </w:r>
      <w:r>
        <w:rPr>
          <w:rFonts w:hint="eastAsia"/>
          <w:color w:val="auto"/>
          <w:lang w:val="en-US" w:eastAsia="zh-CN"/>
        </w:rPr>
        <w:t>县（区）</w:t>
      </w:r>
      <w:r>
        <w:rPr>
          <w:color w:val="auto"/>
        </w:rPr>
        <w:t>高标准农田建设任务</w:t>
      </w:r>
      <w:bookmarkEnd w:id="83"/>
      <w:bookmarkEnd w:id="84"/>
      <w:bookmarkEnd w:id="85"/>
      <w:bookmarkEnd w:id="86"/>
      <w:bookmarkEnd w:id="87"/>
    </w:p>
    <w:p>
      <w:pPr>
        <w:bidi w:val="0"/>
        <w:jc w:val="right"/>
        <w:rPr>
          <w:color w:val="auto"/>
        </w:rPr>
      </w:pPr>
      <w:r>
        <w:rPr>
          <w:color w:val="auto"/>
        </w:rPr>
        <w:t>单位：万亩</w:t>
      </w:r>
    </w:p>
    <w:tbl>
      <w:tblPr>
        <w:tblStyle w:val="14"/>
        <w:tblW w:w="9118" w:type="dxa"/>
        <w:tblInd w:w="0" w:type="dxa"/>
        <w:tblLayout w:type="fixed"/>
        <w:tblCellMar>
          <w:top w:w="0" w:type="dxa"/>
          <w:left w:w="108" w:type="dxa"/>
          <w:bottom w:w="0" w:type="dxa"/>
          <w:right w:w="108" w:type="dxa"/>
        </w:tblCellMar>
      </w:tblPr>
      <w:tblGrid>
        <w:gridCol w:w="1708"/>
        <w:gridCol w:w="1854"/>
        <w:gridCol w:w="1854"/>
        <w:gridCol w:w="1854"/>
        <w:gridCol w:w="1848"/>
      </w:tblGrid>
      <w:tr>
        <w:tblPrEx>
          <w:tblCellMar>
            <w:top w:w="0" w:type="dxa"/>
            <w:left w:w="108" w:type="dxa"/>
            <w:bottom w:w="0" w:type="dxa"/>
            <w:right w:w="108" w:type="dxa"/>
          </w:tblCellMar>
        </w:tblPrEx>
        <w:trPr>
          <w:trHeight w:val="539" w:hRule="atLeast"/>
          <w:tblHeader/>
        </w:trPr>
        <w:tc>
          <w:tcPr>
            <w:tcW w:w="1708" w:type="dxa"/>
            <w:tcBorders>
              <w:top w:val="single" w:color="auto" w:sz="4" w:space="0"/>
              <w:left w:val="single" w:color="auto" w:sz="4" w:space="0"/>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区域</w:t>
            </w:r>
          </w:p>
        </w:tc>
        <w:tc>
          <w:tcPr>
            <w:tcW w:w="1854"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“十四五”</w:t>
            </w:r>
            <w:r>
              <w:rPr>
                <w:rFonts w:hint="eastAsia" w:ascii="仿宋" w:hAnsi="仿宋" w:cs="仿宋"/>
                <w:snapToGrid w:val="0"/>
                <w:color w:val="auto"/>
                <w:kern w:val="0"/>
                <w:sz w:val="28"/>
                <w:szCs w:val="28"/>
                <w:lang w:eastAsia="zh-CN"/>
              </w:rPr>
              <w:t>新增</w:t>
            </w:r>
            <w:r>
              <w:rPr>
                <w:rFonts w:hint="eastAsia" w:ascii="仿宋" w:hAnsi="仿宋" w:eastAsia="仿宋" w:cs="仿宋"/>
                <w:snapToGrid w:val="0"/>
                <w:color w:val="auto"/>
                <w:kern w:val="0"/>
                <w:sz w:val="28"/>
                <w:szCs w:val="28"/>
              </w:rPr>
              <w:t>面积</w:t>
            </w:r>
          </w:p>
        </w:tc>
        <w:tc>
          <w:tcPr>
            <w:tcW w:w="1854"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“十四五”改造提升面积</w:t>
            </w:r>
          </w:p>
        </w:tc>
        <w:tc>
          <w:tcPr>
            <w:tcW w:w="1854"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“十五五”</w:t>
            </w:r>
          </w:p>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cs="仿宋"/>
                <w:snapToGrid w:val="0"/>
                <w:color w:val="auto"/>
                <w:kern w:val="0"/>
                <w:sz w:val="28"/>
                <w:szCs w:val="28"/>
                <w:lang w:eastAsia="zh-CN"/>
              </w:rPr>
              <w:t>新增</w:t>
            </w:r>
            <w:r>
              <w:rPr>
                <w:rFonts w:hint="eastAsia" w:ascii="仿宋" w:hAnsi="仿宋" w:eastAsia="仿宋" w:cs="仿宋"/>
                <w:snapToGrid w:val="0"/>
                <w:color w:val="auto"/>
                <w:kern w:val="0"/>
                <w:sz w:val="28"/>
                <w:szCs w:val="28"/>
              </w:rPr>
              <w:t>面积</w:t>
            </w:r>
          </w:p>
        </w:tc>
        <w:tc>
          <w:tcPr>
            <w:tcW w:w="1848"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“十五五”改造提升面积</w:t>
            </w:r>
          </w:p>
        </w:tc>
      </w:tr>
      <w:tr>
        <w:tblPrEx>
          <w:tblCellMar>
            <w:top w:w="0" w:type="dxa"/>
            <w:left w:w="108" w:type="dxa"/>
            <w:bottom w:w="0" w:type="dxa"/>
            <w:right w:w="108" w:type="dxa"/>
          </w:tblCellMar>
        </w:tblPrEx>
        <w:trPr>
          <w:trHeight w:val="539" w:hRule="atLeast"/>
        </w:trPr>
        <w:tc>
          <w:tcPr>
            <w:tcW w:w="1708" w:type="dxa"/>
            <w:tcBorders>
              <w:top w:val="nil"/>
              <w:left w:val="single" w:color="auto" w:sz="4" w:space="0"/>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全</w:t>
            </w:r>
            <w:r>
              <w:rPr>
                <w:rFonts w:hint="eastAsia" w:ascii="仿宋" w:hAnsi="仿宋" w:cs="仿宋"/>
                <w:snapToGrid w:val="0"/>
                <w:color w:val="auto"/>
                <w:kern w:val="0"/>
                <w:sz w:val="28"/>
                <w:szCs w:val="28"/>
                <w:lang w:val="en-US" w:eastAsia="zh-CN"/>
              </w:rPr>
              <w:t>市</w:t>
            </w:r>
            <w:r>
              <w:rPr>
                <w:rFonts w:hint="eastAsia" w:ascii="仿宋" w:hAnsi="仿宋" w:eastAsia="仿宋" w:cs="仿宋"/>
                <w:snapToGrid w:val="0"/>
                <w:color w:val="auto"/>
                <w:kern w:val="0"/>
                <w:sz w:val="28"/>
                <w:szCs w:val="28"/>
              </w:rPr>
              <w:t>合计</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40</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18</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11</w:t>
            </w:r>
          </w:p>
        </w:tc>
        <w:tc>
          <w:tcPr>
            <w:tcW w:w="1848"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44</w:t>
            </w:r>
          </w:p>
        </w:tc>
      </w:tr>
      <w:tr>
        <w:tblPrEx>
          <w:tblCellMar>
            <w:top w:w="0" w:type="dxa"/>
            <w:left w:w="108" w:type="dxa"/>
            <w:bottom w:w="0" w:type="dxa"/>
            <w:right w:w="108" w:type="dxa"/>
          </w:tblCellMar>
        </w:tblPrEx>
        <w:trPr>
          <w:trHeight w:val="539" w:hRule="atLeast"/>
        </w:trPr>
        <w:tc>
          <w:tcPr>
            <w:tcW w:w="1708"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rPr>
              <w:t>贵池区</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13.5</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6</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6</w:t>
            </w:r>
          </w:p>
        </w:tc>
        <w:tc>
          <w:tcPr>
            <w:tcW w:w="1848"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15</w:t>
            </w:r>
          </w:p>
        </w:tc>
      </w:tr>
      <w:tr>
        <w:tblPrEx>
          <w:tblCellMar>
            <w:top w:w="0" w:type="dxa"/>
            <w:left w:w="108" w:type="dxa"/>
            <w:bottom w:w="0" w:type="dxa"/>
            <w:right w:w="108" w:type="dxa"/>
          </w:tblCellMar>
        </w:tblPrEx>
        <w:trPr>
          <w:trHeight w:val="539" w:hRule="atLeast"/>
        </w:trPr>
        <w:tc>
          <w:tcPr>
            <w:tcW w:w="1708"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东至县</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19.5</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7.5</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2.5</w:t>
            </w:r>
          </w:p>
        </w:tc>
        <w:tc>
          <w:tcPr>
            <w:tcW w:w="1848"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16.5</w:t>
            </w:r>
          </w:p>
        </w:tc>
      </w:tr>
      <w:tr>
        <w:tblPrEx>
          <w:tblCellMar>
            <w:top w:w="0" w:type="dxa"/>
            <w:left w:w="108" w:type="dxa"/>
            <w:bottom w:w="0" w:type="dxa"/>
            <w:right w:w="108" w:type="dxa"/>
          </w:tblCellMar>
        </w:tblPrEx>
        <w:trPr>
          <w:trHeight w:val="539" w:hRule="atLeast"/>
        </w:trPr>
        <w:tc>
          <w:tcPr>
            <w:tcW w:w="1708" w:type="dxa"/>
            <w:tcBorders>
              <w:top w:val="nil"/>
              <w:left w:val="single" w:color="auto" w:sz="4" w:space="0"/>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bidi="ar-SA"/>
              </w:rPr>
            </w:pPr>
            <w:r>
              <w:rPr>
                <w:rFonts w:hint="eastAsia" w:ascii="仿宋" w:hAnsi="仿宋" w:cs="仿宋"/>
                <w:snapToGrid w:val="0"/>
                <w:color w:val="auto"/>
                <w:kern w:val="0"/>
                <w:sz w:val="28"/>
                <w:szCs w:val="28"/>
                <w:lang w:eastAsia="zh-CN"/>
              </w:rPr>
              <w:t>石台县</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bidi="ar-SA"/>
              </w:rPr>
            </w:pPr>
            <w:r>
              <w:rPr>
                <w:rFonts w:hint="eastAsia" w:ascii="仿宋" w:hAnsi="仿宋" w:cs="仿宋"/>
                <w:snapToGrid w:val="0"/>
                <w:color w:val="auto"/>
                <w:kern w:val="0"/>
                <w:sz w:val="28"/>
                <w:szCs w:val="28"/>
                <w:lang w:val="en-US" w:eastAsia="zh-CN"/>
              </w:rPr>
              <w:t>0.9</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bidi="ar-SA"/>
              </w:rPr>
            </w:pPr>
            <w:r>
              <w:rPr>
                <w:rFonts w:hint="eastAsia" w:ascii="仿宋" w:hAnsi="仿宋" w:cs="仿宋"/>
                <w:snapToGrid w:val="0"/>
                <w:color w:val="auto"/>
                <w:kern w:val="0"/>
                <w:sz w:val="28"/>
                <w:szCs w:val="28"/>
                <w:lang w:val="en-US" w:eastAsia="zh-CN"/>
              </w:rPr>
              <w:t>1.5</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firstLine="560" w:firstLineChars="200"/>
              <w:jc w:val="center"/>
              <w:rPr>
                <w:rFonts w:hint="eastAsia" w:ascii="仿宋" w:hAnsi="仿宋" w:eastAsia="仿宋" w:cs="仿宋"/>
                <w:snapToGrid w:val="0"/>
                <w:color w:val="auto"/>
                <w:kern w:val="0"/>
                <w:sz w:val="28"/>
                <w:szCs w:val="28"/>
                <w:lang w:val="en-US" w:eastAsia="zh-CN" w:bidi="ar-SA"/>
              </w:rPr>
            </w:pPr>
          </w:p>
        </w:tc>
        <w:tc>
          <w:tcPr>
            <w:tcW w:w="1848"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bidi="ar-SA"/>
              </w:rPr>
            </w:pPr>
            <w:r>
              <w:rPr>
                <w:rFonts w:hint="eastAsia" w:ascii="仿宋" w:hAnsi="仿宋" w:cs="仿宋"/>
                <w:snapToGrid w:val="0"/>
                <w:color w:val="auto"/>
                <w:kern w:val="0"/>
                <w:sz w:val="28"/>
                <w:szCs w:val="28"/>
                <w:lang w:val="en-US" w:eastAsia="zh-CN"/>
              </w:rPr>
              <w:t>2.5</w:t>
            </w:r>
          </w:p>
        </w:tc>
      </w:tr>
      <w:tr>
        <w:tblPrEx>
          <w:tblCellMar>
            <w:top w:w="0" w:type="dxa"/>
            <w:left w:w="108" w:type="dxa"/>
            <w:bottom w:w="0" w:type="dxa"/>
            <w:right w:w="108" w:type="dxa"/>
          </w:tblCellMar>
        </w:tblPrEx>
        <w:trPr>
          <w:trHeight w:val="539" w:hRule="atLeast"/>
        </w:trPr>
        <w:tc>
          <w:tcPr>
            <w:tcW w:w="1708"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shd w:val="clear" w:color="auto" w:fill="FFFFFF"/>
              </w:rPr>
              <w:t>青阳县</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6.1</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3</w:t>
            </w:r>
          </w:p>
        </w:tc>
        <w:tc>
          <w:tcPr>
            <w:tcW w:w="1854"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2.5</w:t>
            </w:r>
          </w:p>
        </w:tc>
        <w:tc>
          <w:tcPr>
            <w:tcW w:w="1848"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10</w:t>
            </w:r>
          </w:p>
        </w:tc>
      </w:tr>
    </w:tbl>
    <w:p>
      <w:pPr>
        <w:bidi w:val="0"/>
        <w:ind w:left="0" w:leftChars="0" w:firstLine="0" w:firstLineChars="0"/>
        <w:jc w:val="both"/>
        <w:rPr>
          <w:color w:val="auto"/>
        </w:rPr>
      </w:pPr>
    </w:p>
    <w:p>
      <w:pPr>
        <w:bidi w:val="0"/>
        <w:jc w:val="center"/>
        <w:rPr>
          <w:color w:val="auto"/>
        </w:rPr>
      </w:pPr>
      <w:bookmarkStart w:id="88" w:name="_Toc5744_WPSOffice_Level2"/>
      <w:bookmarkStart w:id="89" w:name="_Toc9956_WPSOffice_Level2"/>
      <w:bookmarkStart w:id="90" w:name="_Toc11094_WPSOffice_Level2"/>
      <w:bookmarkStart w:id="91" w:name="_Toc20576_WPSOffice_Level2"/>
      <w:bookmarkStart w:id="92" w:name="_Toc20890_WPSOffice_Level2"/>
      <w:r>
        <w:rPr>
          <w:color w:val="auto"/>
        </w:rPr>
        <w:t>表</w:t>
      </w:r>
      <w:r>
        <w:rPr>
          <w:rFonts w:hint="eastAsia"/>
          <w:color w:val="auto"/>
          <w:lang w:val="en-US" w:eastAsia="zh-CN"/>
        </w:rPr>
        <w:t>4</w:t>
      </w:r>
      <w:r>
        <w:rPr>
          <w:color w:val="auto"/>
        </w:rPr>
        <w:t>各</w:t>
      </w:r>
      <w:r>
        <w:rPr>
          <w:rFonts w:hint="eastAsia"/>
          <w:color w:val="auto"/>
          <w:lang w:val="en-US" w:eastAsia="zh-CN"/>
        </w:rPr>
        <w:t>县（区）高效节水灌溉</w:t>
      </w:r>
      <w:r>
        <w:rPr>
          <w:color w:val="auto"/>
        </w:rPr>
        <w:t>建设任务</w:t>
      </w:r>
      <w:bookmarkEnd w:id="88"/>
      <w:bookmarkEnd w:id="89"/>
      <w:bookmarkEnd w:id="90"/>
      <w:bookmarkEnd w:id="91"/>
      <w:bookmarkEnd w:id="92"/>
    </w:p>
    <w:p>
      <w:pPr>
        <w:bidi w:val="0"/>
        <w:jc w:val="right"/>
        <w:rPr>
          <w:color w:val="auto"/>
        </w:rPr>
      </w:pPr>
      <w:r>
        <w:rPr>
          <w:color w:val="auto"/>
        </w:rPr>
        <w:t>单位：万亩</w:t>
      </w:r>
    </w:p>
    <w:tbl>
      <w:tblPr>
        <w:tblStyle w:val="14"/>
        <w:tblW w:w="8778" w:type="dxa"/>
        <w:tblInd w:w="0" w:type="dxa"/>
        <w:tblLayout w:type="fixed"/>
        <w:tblCellMar>
          <w:top w:w="0" w:type="dxa"/>
          <w:left w:w="108" w:type="dxa"/>
          <w:bottom w:w="0" w:type="dxa"/>
          <w:right w:w="108" w:type="dxa"/>
        </w:tblCellMar>
      </w:tblPr>
      <w:tblGrid>
        <w:gridCol w:w="2061"/>
        <w:gridCol w:w="2239"/>
        <w:gridCol w:w="2239"/>
        <w:gridCol w:w="2239"/>
      </w:tblGrid>
      <w:tr>
        <w:tblPrEx>
          <w:tblCellMar>
            <w:top w:w="0" w:type="dxa"/>
            <w:left w:w="108" w:type="dxa"/>
            <w:bottom w:w="0" w:type="dxa"/>
            <w:right w:w="108" w:type="dxa"/>
          </w:tblCellMar>
        </w:tblPrEx>
        <w:trPr>
          <w:trHeight w:val="1279" w:hRule="atLeast"/>
          <w:tblHeader/>
        </w:trPr>
        <w:tc>
          <w:tcPr>
            <w:tcW w:w="2061" w:type="dxa"/>
            <w:tcBorders>
              <w:top w:val="single" w:color="auto" w:sz="4" w:space="0"/>
              <w:left w:val="single" w:color="auto" w:sz="4" w:space="0"/>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区域</w:t>
            </w:r>
          </w:p>
        </w:tc>
        <w:tc>
          <w:tcPr>
            <w:tcW w:w="2239"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2021－2030年新增高效节水</w:t>
            </w:r>
          </w:p>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灌溉面积</w:t>
            </w:r>
          </w:p>
        </w:tc>
        <w:tc>
          <w:tcPr>
            <w:tcW w:w="2239"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其中，“十四五”新增高效节水</w:t>
            </w:r>
          </w:p>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灌溉面积</w:t>
            </w:r>
          </w:p>
        </w:tc>
        <w:tc>
          <w:tcPr>
            <w:tcW w:w="2239" w:type="dxa"/>
            <w:tcBorders>
              <w:top w:val="single" w:color="auto" w:sz="4" w:space="0"/>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其中，“十五五”新增高效节水</w:t>
            </w:r>
          </w:p>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灌溉面积</w:t>
            </w:r>
          </w:p>
        </w:tc>
      </w:tr>
      <w:tr>
        <w:tblPrEx>
          <w:tblCellMar>
            <w:top w:w="0" w:type="dxa"/>
            <w:left w:w="108" w:type="dxa"/>
            <w:bottom w:w="0" w:type="dxa"/>
            <w:right w:w="108" w:type="dxa"/>
          </w:tblCellMar>
        </w:tblPrEx>
        <w:trPr>
          <w:trHeight w:val="442" w:hRule="atLeast"/>
        </w:trPr>
        <w:tc>
          <w:tcPr>
            <w:tcW w:w="2061" w:type="dxa"/>
            <w:tcBorders>
              <w:top w:val="nil"/>
              <w:left w:val="single" w:color="auto" w:sz="4" w:space="0"/>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rPr>
              <w:t>全</w:t>
            </w:r>
            <w:r>
              <w:rPr>
                <w:rFonts w:hint="eastAsia" w:ascii="仿宋" w:hAnsi="仿宋" w:cs="仿宋"/>
                <w:snapToGrid w:val="0"/>
                <w:color w:val="auto"/>
                <w:kern w:val="0"/>
                <w:sz w:val="28"/>
                <w:szCs w:val="28"/>
                <w:lang w:val="en-US" w:eastAsia="zh-CN"/>
              </w:rPr>
              <w:t>市</w:t>
            </w:r>
            <w:r>
              <w:rPr>
                <w:rFonts w:hint="eastAsia" w:ascii="仿宋" w:hAnsi="仿宋" w:eastAsia="仿宋" w:cs="仿宋"/>
                <w:snapToGrid w:val="0"/>
                <w:color w:val="auto"/>
                <w:kern w:val="0"/>
                <w:sz w:val="28"/>
                <w:szCs w:val="28"/>
              </w:rPr>
              <w:t>合计</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0.1</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0.05</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default" w:ascii="仿宋" w:hAnsi="仿宋" w:eastAsia="仿宋" w:cs="仿宋"/>
                <w:b/>
                <w:bCs/>
                <w:snapToGrid w:val="0"/>
                <w:color w:val="auto"/>
                <w:kern w:val="0"/>
                <w:sz w:val="28"/>
                <w:szCs w:val="28"/>
                <w:lang w:val="en-US" w:eastAsia="zh-CN"/>
              </w:rPr>
            </w:pPr>
            <w:r>
              <w:rPr>
                <w:rFonts w:hint="eastAsia" w:ascii="仿宋" w:hAnsi="仿宋" w:cs="仿宋"/>
                <w:b/>
                <w:bCs/>
                <w:snapToGrid w:val="0"/>
                <w:color w:val="auto"/>
                <w:kern w:val="0"/>
                <w:sz w:val="28"/>
                <w:szCs w:val="28"/>
                <w:lang w:val="en-US" w:eastAsia="zh-CN"/>
              </w:rPr>
              <w:t>0.05</w:t>
            </w:r>
          </w:p>
        </w:tc>
      </w:tr>
      <w:tr>
        <w:tblPrEx>
          <w:tblCellMar>
            <w:top w:w="0" w:type="dxa"/>
            <w:left w:w="108" w:type="dxa"/>
            <w:bottom w:w="0" w:type="dxa"/>
            <w:right w:w="108" w:type="dxa"/>
          </w:tblCellMar>
        </w:tblPrEx>
        <w:trPr>
          <w:trHeight w:val="442" w:hRule="atLeast"/>
        </w:trPr>
        <w:tc>
          <w:tcPr>
            <w:tcW w:w="2061"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lang w:eastAsia="zh-CN"/>
              </w:rPr>
            </w:pPr>
            <w:r>
              <w:rPr>
                <w:rFonts w:hint="eastAsia" w:ascii="仿宋" w:hAnsi="仿宋" w:eastAsia="仿宋" w:cs="仿宋"/>
                <w:snapToGrid w:val="0"/>
                <w:color w:val="auto"/>
                <w:kern w:val="0"/>
                <w:sz w:val="28"/>
                <w:szCs w:val="28"/>
              </w:rPr>
              <w:t>贵池区</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0.05</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eastAsia" w:ascii="仿宋" w:hAnsi="仿宋" w:eastAsia="仿宋" w:cs="仿宋"/>
                <w:snapToGrid w:val="0"/>
                <w:color w:val="auto"/>
                <w:kern w:val="0"/>
                <w:sz w:val="28"/>
                <w:szCs w:val="28"/>
              </w:rPr>
            </w:pP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0.05</w:t>
            </w:r>
          </w:p>
        </w:tc>
      </w:tr>
      <w:tr>
        <w:tblPrEx>
          <w:tblCellMar>
            <w:top w:w="0" w:type="dxa"/>
            <w:left w:w="108" w:type="dxa"/>
            <w:bottom w:w="0" w:type="dxa"/>
            <w:right w:w="108" w:type="dxa"/>
          </w:tblCellMar>
        </w:tblPrEx>
        <w:trPr>
          <w:trHeight w:val="442" w:hRule="atLeast"/>
        </w:trPr>
        <w:tc>
          <w:tcPr>
            <w:tcW w:w="2061" w:type="dxa"/>
            <w:tcBorders>
              <w:top w:val="nil"/>
              <w:left w:val="single" w:color="auto" w:sz="4" w:space="0"/>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bidi="ar-SA"/>
              </w:rPr>
            </w:pPr>
            <w:r>
              <w:rPr>
                <w:rFonts w:hint="eastAsia" w:ascii="仿宋" w:hAnsi="仿宋" w:eastAsia="仿宋" w:cs="仿宋"/>
                <w:snapToGrid w:val="0"/>
                <w:color w:val="auto"/>
                <w:kern w:val="0"/>
                <w:sz w:val="28"/>
                <w:szCs w:val="28"/>
              </w:rPr>
              <w:t>东至县</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eastAsia" w:ascii="仿宋" w:hAnsi="仿宋" w:eastAsia="仿宋" w:cs="仿宋"/>
                <w:snapToGrid w:val="0"/>
                <w:color w:val="auto"/>
                <w:kern w:val="0"/>
                <w:sz w:val="28"/>
                <w:szCs w:val="28"/>
                <w:lang w:val="en-US" w:eastAsia="zh-CN" w:bidi="ar-SA"/>
              </w:rPr>
            </w:pPr>
            <w:r>
              <w:rPr>
                <w:rFonts w:hint="eastAsia" w:ascii="仿宋" w:hAnsi="仿宋" w:cs="仿宋"/>
                <w:snapToGrid w:val="0"/>
                <w:color w:val="auto"/>
                <w:kern w:val="0"/>
                <w:sz w:val="28"/>
                <w:szCs w:val="28"/>
                <w:lang w:val="en-US" w:eastAsia="zh-CN"/>
              </w:rPr>
              <w:t>0.02</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firstLine="560" w:firstLineChars="200"/>
              <w:jc w:val="both"/>
              <w:rPr>
                <w:rFonts w:hint="eastAsia" w:ascii="仿宋" w:hAnsi="仿宋" w:eastAsia="仿宋" w:cs="仿宋"/>
                <w:snapToGrid w:val="0"/>
                <w:color w:val="auto"/>
                <w:kern w:val="0"/>
                <w:sz w:val="28"/>
                <w:szCs w:val="28"/>
                <w:lang w:val="en-US" w:eastAsia="zh-CN" w:bidi="ar-SA"/>
              </w:rPr>
            </w:pPr>
            <w:r>
              <w:rPr>
                <w:rFonts w:hint="eastAsia" w:ascii="仿宋" w:hAnsi="仿宋" w:cs="仿宋"/>
                <w:snapToGrid w:val="0"/>
                <w:color w:val="auto"/>
                <w:kern w:val="0"/>
                <w:sz w:val="28"/>
                <w:szCs w:val="28"/>
                <w:lang w:val="en-US" w:eastAsia="zh-CN"/>
              </w:rPr>
              <w:t>0.02</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eastAsia" w:ascii="仿宋" w:hAnsi="仿宋" w:eastAsia="仿宋" w:cs="仿宋"/>
                <w:snapToGrid w:val="0"/>
                <w:color w:val="auto"/>
                <w:kern w:val="0"/>
                <w:sz w:val="28"/>
                <w:szCs w:val="28"/>
              </w:rPr>
            </w:pPr>
          </w:p>
        </w:tc>
      </w:tr>
      <w:tr>
        <w:tblPrEx>
          <w:tblCellMar>
            <w:top w:w="0" w:type="dxa"/>
            <w:left w:w="108" w:type="dxa"/>
            <w:bottom w:w="0" w:type="dxa"/>
            <w:right w:w="108" w:type="dxa"/>
          </w:tblCellMar>
        </w:tblPrEx>
        <w:trPr>
          <w:trHeight w:val="442" w:hRule="atLeast"/>
        </w:trPr>
        <w:tc>
          <w:tcPr>
            <w:tcW w:w="2061"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shd w:val="clear" w:color="auto" w:fill="FFFFFF"/>
              </w:rPr>
              <w:t>石台县</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ind w:left="0" w:leftChars="0" w:firstLine="0" w:firstLineChars="0"/>
              <w:jc w:val="center"/>
              <w:rPr>
                <w:rFonts w:hint="default" w:ascii="仿宋" w:hAnsi="仿宋" w:eastAsia="仿宋" w:cs="仿宋"/>
                <w:snapToGrid w:val="0"/>
                <w:color w:val="auto"/>
                <w:kern w:val="0"/>
                <w:sz w:val="28"/>
                <w:szCs w:val="28"/>
                <w:lang w:val="en-US" w:eastAsia="zh-CN"/>
              </w:rPr>
            </w:pPr>
            <w:r>
              <w:rPr>
                <w:rFonts w:hint="eastAsia" w:ascii="仿宋" w:hAnsi="仿宋" w:cs="仿宋"/>
                <w:snapToGrid w:val="0"/>
                <w:color w:val="auto"/>
                <w:kern w:val="0"/>
                <w:sz w:val="28"/>
                <w:szCs w:val="28"/>
                <w:lang w:val="en-US" w:eastAsia="zh-CN"/>
              </w:rPr>
              <w:t>0.03</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eastAsia" w:ascii="仿宋" w:hAnsi="仿宋" w:eastAsia="仿宋" w:cs="仿宋"/>
                <w:snapToGrid w:val="0"/>
                <w:color w:val="auto"/>
                <w:kern w:val="0"/>
                <w:sz w:val="28"/>
                <w:szCs w:val="28"/>
              </w:rPr>
            </w:pPr>
            <w:r>
              <w:rPr>
                <w:rFonts w:hint="eastAsia" w:ascii="仿宋" w:hAnsi="仿宋" w:cs="仿宋"/>
                <w:snapToGrid w:val="0"/>
                <w:color w:val="auto"/>
                <w:kern w:val="0"/>
                <w:sz w:val="28"/>
                <w:szCs w:val="28"/>
                <w:lang w:val="en-US" w:eastAsia="zh-CN"/>
              </w:rPr>
              <w:t>0.03</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eastAsia" w:ascii="仿宋" w:hAnsi="仿宋" w:eastAsia="仿宋" w:cs="仿宋"/>
                <w:snapToGrid w:val="0"/>
                <w:color w:val="auto"/>
                <w:kern w:val="0"/>
                <w:sz w:val="28"/>
                <w:szCs w:val="28"/>
              </w:rPr>
            </w:pPr>
          </w:p>
        </w:tc>
      </w:tr>
      <w:tr>
        <w:tblPrEx>
          <w:tblCellMar>
            <w:top w:w="0" w:type="dxa"/>
            <w:left w:w="108" w:type="dxa"/>
            <w:bottom w:w="0" w:type="dxa"/>
            <w:right w:w="108" w:type="dxa"/>
          </w:tblCellMar>
        </w:tblPrEx>
        <w:trPr>
          <w:trHeight w:val="442" w:hRule="atLeast"/>
        </w:trPr>
        <w:tc>
          <w:tcPr>
            <w:tcW w:w="2061"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val="0"/>
              <w:topLinePunct w:val="0"/>
              <w:autoSpaceDE w:val="0"/>
              <w:autoSpaceDN w:val="0"/>
              <w:bidi w:val="0"/>
              <w:adjustRightInd w:val="0"/>
              <w:snapToGrid w:val="0"/>
              <w:spacing w:line="400" w:lineRule="exact"/>
              <w:ind w:left="0" w:leftChars="0" w:firstLine="0" w:firstLineChars="0"/>
              <w:jc w:val="center"/>
              <w:textAlignment w:val="auto"/>
              <w:rPr>
                <w:rFonts w:hint="eastAsia" w:ascii="仿宋" w:hAnsi="仿宋" w:eastAsia="仿宋" w:cs="仿宋"/>
                <w:snapToGrid w:val="0"/>
                <w:color w:val="auto"/>
                <w:kern w:val="0"/>
                <w:sz w:val="28"/>
                <w:szCs w:val="28"/>
              </w:rPr>
            </w:pPr>
            <w:r>
              <w:rPr>
                <w:rFonts w:hint="eastAsia" w:ascii="仿宋" w:hAnsi="仿宋" w:eastAsia="仿宋" w:cs="仿宋"/>
                <w:snapToGrid w:val="0"/>
                <w:color w:val="auto"/>
                <w:kern w:val="0"/>
                <w:sz w:val="28"/>
                <w:szCs w:val="28"/>
                <w:shd w:val="clear" w:color="auto" w:fill="FFFFFF"/>
              </w:rPr>
              <w:t>青阳县</w:t>
            </w: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center"/>
              <w:rPr>
                <w:rFonts w:hint="eastAsia" w:ascii="仿宋" w:hAnsi="仿宋" w:eastAsia="仿宋" w:cs="仿宋"/>
                <w:snapToGrid w:val="0"/>
                <w:color w:val="auto"/>
                <w:kern w:val="0"/>
                <w:sz w:val="28"/>
                <w:szCs w:val="28"/>
              </w:rPr>
            </w:pP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eastAsia" w:ascii="仿宋" w:hAnsi="仿宋" w:eastAsia="仿宋" w:cs="仿宋"/>
                <w:snapToGrid w:val="0"/>
                <w:color w:val="auto"/>
                <w:kern w:val="0"/>
                <w:sz w:val="28"/>
                <w:szCs w:val="28"/>
              </w:rPr>
            </w:pPr>
          </w:p>
        </w:tc>
        <w:tc>
          <w:tcPr>
            <w:tcW w:w="2239" w:type="dxa"/>
            <w:tcBorders>
              <w:top w:val="nil"/>
              <w:left w:val="nil"/>
              <w:bottom w:val="single" w:color="auto" w:sz="4" w:space="0"/>
              <w:right w:val="single" w:color="auto" w:sz="4" w:space="0"/>
            </w:tcBorders>
            <w:vAlign w:val="center"/>
          </w:tcPr>
          <w:p>
            <w:pPr>
              <w:overflowPunct w:val="0"/>
              <w:autoSpaceDE w:val="0"/>
              <w:autoSpaceDN w:val="0"/>
              <w:adjustRightInd w:val="0"/>
              <w:snapToGrid w:val="0"/>
              <w:spacing w:line="400" w:lineRule="exact"/>
              <w:jc w:val="both"/>
              <w:rPr>
                <w:rFonts w:hint="eastAsia" w:ascii="仿宋" w:hAnsi="仿宋" w:eastAsia="仿宋" w:cs="仿宋"/>
                <w:snapToGrid w:val="0"/>
                <w:color w:val="auto"/>
                <w:kern w:val="0"/>
                <w:sz w:val="28"/>
                <w:szCs w:val="28"/>
              </w:rPr>
            </w:pPr>
          </w:p>
        </w:tc>
      </w:tr>
    </w:tbl>
    <w:p>
      <w:pPr>
        <w:pStyle w:val="4"/>
        <w:numPr>
          <w:ilvl w:val="0"/>
          <w:numId w:val="0"/>
        </w:numPr>
        <w:bidi w:val="0"/>
        <w:ind w:leftChars="200"/>
        <w:rPr>
          <w:b w:val="0"/>
          <w:bCs w:val="0"/>
          <w:color w:val="auto"/>
          <w:lang w:val="ru-RU"/>
        </w:rPr>
      </w:pPr>
      <w:bookmarkStart w:id="93" w:name="_Toc18538_WPSOffice_Level2"/>
      <w:bookmarkStart w:id="94" w:name="_Toc4763_WPSOffice_Level2"/>
      <w:r>
        <w:rPr>
          <w:rFonts w:hint="eastAsia"/>
          <w:b w:val="0"/>
          <w:bCs w:val="0"/>
          <w:color w:val="auto"/>
          <w:lang w:val="en-US" w:eastAsia="zh-CN"/>
        </w:rPr>
        <w:t>三、</w:t>
      </w:r>
      <w:r>
        <w:rPr>
          <w:b w:val="0"/>
          <w:bCs w:val="0"/>
          <w:color w:val="auto"/>
          <w:lang w:val="ru-RU"/>
        </w:rPr>
        <w:t>整县推进工程试点</w:t>
      </w:r>
      <w:bookmarkEnd w:id="93"/>
      <w:bookmarkEnd w:id="94"/>
    </w:p>
    <w:p>
      <w:pPr>
        <w:bidi w:val="0"/>
        <w:rPr>
          <w:rFonts w:hint="default"/>
          <w:color w:val="auto"/>
          <w:sz w:val="32"/>
          <w:szCs w:val="32"/>
          <w:lang w:val="en-US" w:eastAsia="zh-CN"/>
        </w:rPr>
      </w:pPr>
      <w:r>
        <w:rPr>
          <w:rFonts w:hint="eastAsia"/>
          <w:color w:val="auto"/>
          <w:sz w:val="32"/>
          <w:szCs w:val="32"/>
          <w:lang w:val="ru-RU" w:eastAsia="zh-CN"/>
        </w:rPr>
        <w:t>东至县已列为全省</w:t>
      </w:r>
      <w:r>
        <w:rPr>
          <w:color w:val="auto"/>
          <w:sz w:val="32"/>
          <w:szCs w:val="32"/>
          <w:lang w:val="ru-RU" w:eastAsia="zh-CN"/>
        </w:rPr>
        <w:t>高标准农田建设整县推进工程试点</w:t>
      </w:r>
      <w:r>
        <w:rPr>
          <w:rFonts w:hint="eastAsia"/>
          <w:color w:val="auto"/>
          <w:sz w:val="32"/>
          <w:szCs w:val="32"/>
          <w:lang w:val="ru-RU" w:eastAsia="zh-CN"/>
        </w:rPr>
        <w:t>，推进工程项目要符合《高标准农田建设通则》规定的建设内容，围绕“两强一增”行动计划，重点突出以下</w:t>
      </w:r>
      <w:r>
        <w:rPr>
          <w:rFonts w:hint="eastAsia"/>
          <w:color w:val="auto"/>
          <w:sz w:val="32"/>
          <w:szCs w:val="32"/>
          <w:lang w:val="en-US" w:eastAsia="zh-CN"/>
        </w:rPr>
        <w:t>七</w:t>
      </w:r>
      <w:r>
        <w:rPr>
          <w:rFonts w:hint="eastAsia"/>
          <w:color w:val="auto"/>
          <w:sz w:val="32"/>
          <w:szCs w:val="32"/>
          <w:lang w:val="ru-RU" w:eastAsia="zh-CN"/>
        </w:rPr>
        <w:t>个方面的内容：</w:t>
      </w:r>
    </w:p>
    <w:p>
      <w:pPr>
        <w:bidi w:val="0"/>
        <w:rPr>
          <w:rFonts w:hint="eastAsia" w:ascii="楷体" w:hAnsi="楷体" w:eastAsia="楷体" w:cs="楷体"/>
          <w:color w:val="auto"/>
          <w:sz w:val="32"/>
          <w:szCs w:val="32"/>
          <w:lang w:val="ru-RU"/>
        </w:rPr>
      </w:pPr>
      <w:bookmarkStart w:id="95" w:name="_Toc11192"/>
      <w:r>
        <w:rPr>
          <w:rFonts w:hint="eastAsia" w:ascii="楷体" w:hAnsi="楷体" w:eastAsia="楷体" w:cs="楷体"/>
          <w:color w:val="auto"/>
          <w:sz w:val="32"/>
          <w:szCs w:val="32"/>
          <w:lang w:val="ru-RU" w:eastAsia="zh-CN"/>
        </w:rPr>
        <w:t>（</w:t>
      </w:r>
      <w:r>
        <w:rPr>
          <w:rFonts w:hint="eastAsia" w:ascii="楷体" w:hAnsi="楷体" w:eastAsia="楷体" w:cs="楷体"/>
          <w:color w:val="auto"/>
          <w:sz w:val="32"/>
          <w:szCs w:val="32"/>
          <w:lang w:val="en-US" w:eastAsia="zh-CN"/>
        </w:rPr>
        <w:t>一</w:t>
      </w:r>
      <w:r>
        <w:rPr>
          <w:rFonts w:hint="eastAsia" w:ascii="楷体" w:hAnsi="楷体" w:eastAsia="楷体" w:cs="楷体"/>
          <w:color w:val="auto"/>
          <w:sz w:val="32"/>
          <w:szCs w:val="32"/>
          <w:lang w:val="ru-RU" w:eastAsia="zh-CN"/>
        </w:rPr>
        <w:t>）</w:t>
      </w:r>
      <w:r>
        <w:rPr>
          <w:rFonts w:hint="eastAsia" w:ascii="楷体" w:hAnsi="楷体" w:eastAsia="楷体" w:cs="楷体"/>
          <w:color w:val="auto"/>
          <w:sz w:val="32"/>
          <w:szCs w:val="32"/>
          <w:lang w:val="ru-RU"/>
        </w:rPr>
        <w:t>夯实基础设施</w:t>
      </w:r>
    </w:p>
    <w:p>
      <w:pPr>
        <w:bidi w:val="0"/>
        <w:rPr>
          <w:color w:val="auto"/>
        </w:rPr>
      </w:pPr>
      <w:r>
        <w:rPr>
          <w:color w:val="auto"/>
          <w:sz w:val="32"/>
          <w:szCs w:val="32"/>
          <w:lang w:val="ru-RU"/>
        </w:rPr>
        <w:t>实行</w:t>
      </w:r>
      <w:r>
        <w:rPr>
          <w:rFonts w:hint="eastAsia"/>
          <w:color w:val="auto"/>
          <w:sz w:val="32"/>
          <w:szCs w:val="32"/>
          <w:lang w:val="ru-RU" w:eastAsia="zh-CN"/>
        </w:rPr>
        <w:t>“</w:t>
      </w:r>
      <w:r>
        <w:rPr>
          <w:color w:val="auto"/>
          <w:sz w:val="32"/>
          <w:szCs w:val="32"/>
          <w:lang w:val="ru-RU"/>
        </w:rPr>
        <w:t>田土水路林电技管</w:t>
      </w:r>
      <w:r>
        <w:rPr>
          <w:rFonts w:hint="eastAsia"/>
          <w:color w:val="auto"/>
          <w:sz w:val="32"/>
          <w:szCs w:val="32"/>
          <w:lang w:val="ru-RU" w:eastAsia="zh-CN"/>
        </w:rPr>
        <w:t>”</w:t>
      </w:r>
      <w:r>
        <w:rPr>
          <w:color w:val="auto"/>
          <w:sz w:val="32"/>
          <w:szCs w:val="32"/>
          <w:lang w:val="ru-RU"/>
        </w:rPr>
        <w:t>综合配套，实现田块平整、集中连片、设施完善、节水高效、农电配套、宜机作业、土壤肥沃生态友好。坚持以农田水利为重点，建设农户急需的通田到地末级灌溉渠道、</w:t>
      </w:r>
      <w:r>
        <w:rPr>
          <w:rFonts w:hint="eastAsia"/>
          <w:color w:val="auto"/>
          <w:sz w:val="32"/>
          <w:szCs w:val="32"/>
          <w:lang w:val="ru-RU" w:eastAsia="zh-CN"/>
        </w:rPr>
        <w:t>田间</w:t>
      </w:r>
      <w:r>
        <w:rPr>
          <w:color w:val="auto"/>
          <w:sz w:val="32"/>
          <w:szCs w:val="32"/>
          <w:lang w:val="ru-RU"/>
        </w:rPr>
        <w:t>道路等设施。加大中低产田改造力度，加快补齐小型农田水利基础设施短板，切实提高粮食生产和农田防灾抗灾减灾能力。</w:t>
      </w:r>
    </w:p>
    <w:bookmarkEnd w:id="95"/>
    <w:p>
      <w:pPr>
        <w:bidi w:val="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w:t>
      </w:r>
      <w:r>
        <w:rPr>
          <w:rFonts w:hint="eastAsia" w:ascii="楷体" w:hAnsi="楷体" w:eastAsia="楷体" w:cs="楷体"/>
          <w:color w:val="auto"/>
          <w:sz w:val="32"/>
          <w:szCs w:val="32"/>
          <w:lang w:val="ru-RU" w:eastAsia="zh-CN"/>
        </w:rPr>
        <w:t>实施改造提升</w:t>
      </w:r>
    </w:p>
    <w:p>
      <w:pPr>
        <w:bidi w:val="0"/>
        <w:rPr>
          <w:color w:val="auto"/>
          <w:sz w:val="32"/>
          <w:szCs w:val="32"/>
          <w:lang w:val="ru-RU"/>
        </w:rPr>
      </w:pPr>
      <w:bookmarkStart w:id="96" w:name="_Toc14763"/>
      <w:r>
        <w:rPr>
          <w:color w:val="auto"/>
          <w:sz w:val="32"/>
          <w:szCs w:val="32"/>
          <w:lang w:val="ru-RU"/>
        </w:rPr>
        <w:t>从2023年起，在确保完成新增高标准农田建设任务的基础上，合理安排已建高标准农田改造提升。优先选择已建高标准农田中建成年份较早、投入较低等建设内容全面不达标的建设区域，对于建设内容部分达标的项目区允许各地按照“缺什么、补什么”的原则开展有针对性的改造提升，切实解决部分已建高标准农田设施不配套、工程老化等问题。</w:t>
      </w:r>
    </w:p>
    <w:bookmarkEnd w:id="96"/>
    <w:p>
      <w:pPr>
        <w:bidi w:val="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w:t>
      </w:r>
      <w:r>
        <w:rPr>
          <w:rFonts w:hint="eastAsia" w:ascii="楷体" w:hAnsi="楷体" w:eastAsia="楷体" w:cs="楷体"/>
          <w:color w:val="auto"/>
          <w:sz w:val="32"/>
          <w:szCs w:val="32"/>
          <w:lang w:val="ru-RU" w:eastAsia="zh-CN"/>
        </w:rPr>
        <w:t>加强耕地保护</w:t>
      </w:r>
    </w:p>
    <w:p>
      <w:pPr>
        <w:bidi w:val="0"/>
        <w:rPr>
          <w:color w:val="auto"/>
          <w:sz w:val="32"/>
          <w:szCs w:val="32"/>
          <w:lang w:val="ru-RU"/>
        </w:rPr>
      </w:pPr>
      <w:bookmarkStart w:id="97" w:name="_Toc14681"/>
      <w:r>
        <w:rPr>
          <w:color w:val="auto"/>
          <w:sz w:val="32"/>
          <w:szCs w:val="32"/>
          <w:lang w:val="ru-RU"/>
        </w:rPr>
        <w:t>以治理土壤酸化和次生盐渍化为重点，加快推广应用功能性有机肥、水肥一体化配套设备，有效减少化肥施用量。因地制宜、综合采取工程措施、农艺措施、生物措施，推广应用土壤改良、地力培肥、治理修复综合技术提升基础地力。高标准农田建成后，耕地质量提升0.1等级。</w:t>
      </w:r>
    </w:p>
    <w:bookmarkEnd w:id="97"/>
    <w:p>
      <w:pPr>
        <w:bidi w:val="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w:t>
      </w:r>
      <w:r>
        <w:rPr>
          <w:rFonts w:hint="eastAsia" w:ascii="楷体" w:hAnsi="楷体" w:eastAsia="楷体" w:cs="楷体"/>
          <w:color w:val="auto"/>
          <w:sz w:val="32"/>
          <w:szCs w:val="32"/>
          <w:lang w:val="ru-RU" w:eastAsia="zh-CN"/>
        </w:rPr>
        <w:t>推进宜机化改造</w:t>
      </w:r>
    </w:p>
    <w:p>
      <w:pPr>
        <w:bidi w:val="0"/>
        <w:rPr>
          <w:color w:val="auto"/>
          <w:sz w:val="32"/>
          <w:szCs w:val="32"/>
          <w:lang w:val="ru-RU"/>
        </w:rPr>
      </w:pPr>
      <w:bookmarkStart w:id="98" w:name="_Toc19386"/>
      <w:r>
        <w:rPr>
          <w:color w:val="auto"/>
          <w:sz w:val="32"/>
          <w:szCs w:val="32"/>
          <w:lang w:val="ru-RU"/>
        </w:rPr>
        <w:t>结合</w:t>
      </w:r>
      <w:r>
        <w:rPr>
          <w:rFonts w:hint="eastAsia"/>
          <w:color w:val="auto"/>
          <w:sz w:val="32"/>
          <w:szCs w:val="32"/>
          <w:lang w:val="ru-RU" w:eastAsia="zh-CN"/>
        </w:rPr>
        <w:t>省委省政府“两强一增”专项行动要求</w:t>
      </w:r>
      <w:r>
        <w:rPr>
          <w:color w:val="auto"/>
          <w:sz w:val="32"/>
          <w:szCs w:val="32"/>
          <w:lang w:val="ru-RU"/>
        </w:rPr>
        <w:t>，加快推进零散地块整合，实施农田弯变直、坡改梯、小并大改造，提升农田宜机化水平。深化田间路提升行动，实现农田宜机化提档升级，田间道路工程充分考虑宜机作业，设置必要的下田设施、错车点和末端掉头点。田间道路通达度</w:t>
      </w:r>
      <w:r>
        <w:rPr>
          <w:rFonts w:hint="eastAsia"/>
          <w:color w:val="auto"/>
          <w:sz w:val="32"/>
          <w:szCs w:val="32"/>
          <w:lang w:val="ru-RU" w:eastAsia="zh-CN"/>
        </w:rPr>
        <w:t>圩区</w:t>
      </w:r>
      <w:r>
        <w:rPr>
          <w:color w:val="auto"/>
          <w:sz w:val="32"/>
          <w:szCs w:val="32"/>
          <w:lang w:val="ru-RU"/>
        </w:rPr>
        <w:t>应达到100%，丘陵、山区不低于90%。</w:t>
      </w:r>
    </w:p>
    <w:bookmarkEnd w:id="98"/>
    <w:p>
      <w:pPr>
        <w:bidi w:val="0"/>
        <w:rPr>
          <w:rFonts w:hint="eastAsia" w:ascii="楷体" w:hAnsi="楷体" w:eastAsia="楷体" w:cs="楷体"/>
          <w:color w:val="auto"/>
          <w:sz w:val="32"/>
          <w:szCs w:val="32"/>
          <w:lang w:val="ru-RU" w:eastAsia="zh-CN"/>
        </w:rPr>
      </w:pPr>
      <w:r>
        <w:rPr>
          <w:rFonts w:hint="eastAsia" w:ascii="楷体" w:hAnsi="楷体" w:eastAsia="楷体" w:cs="楷体"/>
          <w:color w:val="auto"/>
          <w:sz w:val="32"/>
          <w:szCs w:val="32"/>
          <w:lang w:val="en-US" w:eastAsia="zh-CN"/>
        </w:rPr>
        <w:t>（五）</w:t>
      </w:r>
      <w:r>
        <w:rPr>
          <w:rFonts w:hint="eastAsia" w:ascii="楷体" w:hAnsi="楷体" w:eastAsia="楷体" w:cs="楷体"/>
          <w:color w:val="auto"/>
          <w:sz w:val="32"/>
          <w:szCs w:val="32"/>
          <w:lang w:val="ru-RU" w:eastAsia="zh-CN"/>
        </w:rPr>
        <w:t>建设绿色农田</w:t>
      </w:r>
    </w:p>
    <w:p>
      <w:pPr>
        <w:bidi w:val="0"/>
        <w:rPr>
          <w:color w:val="auto"/>
          <w:sz w:val="32"/>
          <w:szCs w:val="32"/>
          <w:lang w:val="ru-RU"/>
        </w:rPr>
      </w:pPr>
      <w:bookmarkStart w:id="99" w:name="_Toc2441"/>
      <w:r>
        <w:rPr>
          <w:color w:val="auto"/>
          <w:sz w:val="32"/>
          <w:szCs w:val="32"/>
          <w:lang w:val="ru-RU"/>
        </w:rPr>
        <w:t>加强与生态环境保护工程、村庄环境规划相衔接，完善农田防护与生态保护体系，积极推广农田排灌与田间道路系统生态化、生物多样性保护和耕地资源可持续利用工程措施。鼓励推广节水、节肥、节药等清洁生产技术，推行病虫害绿色防控，集成示范综合种养以及生态种植等模式。</w:t>
      </w:r>
    </w:p>
    <w:bookmarkEnd w:id="99"/>
    <w:p>
      <w:pPr>
        <w:bidi w:val="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w:t>
      </w:r>
      <w:r>
        <w:rPr>
          <w:rFonts w:hint="eastAsia" w:ascii="楷体" w:hAnsi="楷体" w:eastAsia="楷体" w:cs="楷体"/>
          <w:color w:val="auto"/>
          <w:sz w:val="32"/>
          <w:szCs w:val="32"/>
          <w:lang w:val="ru-RU" w:eastAsia="zh-CN"/>
        </w:rPr>
        <w:t>注重探索创新</w:t>
      </w:r>
    </w:p>
    <w:p>
      <w:pPr>
        <w:bidi w:val="0"/>
        <w:rPr>
          <w:color w:val="auto"/>
          <w:sz w:val="32"/>
          <w:szCs w:val="32"/>
          <w:lang w:val="ru-RU"/>
        </w:rPr>
      </w:pPr>
      <w:r>
        <w:rPr>
          <w:color w:val="auto"/>
          <w:sz w:val="32"/>
          <w:szCs w:val="32"/>
          <w:lang w:val="ru-RU"/>
        </w:rPr>
        <w:t>持续开展高标准农田建设与巩固脱贫攻坚成果、发展现代农业、耕地占补平衡、农村人居环境改善等“四个结合”探索实践，创新“高标准农田+”模式。围绕提升现代农业产业体系、生产体系、经营体系现代化水平，建设高标准农田示范区，助力现代农业发展。</w:t>
      </w:r>
    </w:p>
    <w:p>
      <w:pPr>
        <w:bidi w:val="0"/>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w:t>
      </w:r>
      <w:r>
        <w:rPr>
          <w:rFonts w:hint="eastAsia" w:ascii="楷体" w:hAnsi="楷体" w:eastAsia="楷体" w:cs="楷体"/>
          <w:color w:val="auto"/>
          <w:sz w:val="32"/>
          <w:szCs w:val="32"/>
          <w:lang w:val="ru-RU" w:eastAsia="zh-CN"/>
        </w:rPr>
        <w:t>强化管护利用</w:t>
      </w:r>
    </w:p>
    <w:p>
      <w:pPr>
        <w:bidi w:val="0"/>
        <w:rPr>
          <w:color w:val="auto"/>
          <w:sz w:val="32"/>
          <w:szCs w:val="32"/>
          <w:lang w:val="ru-RU"/>
        </w:rPr>
      </w:pPr>
      <w:r>
        <w:rPr>
          <w:color w:val="auto"/>
          <w:sz w:val="32"/>
          <w:szCs w:val="32"/>
          <w:lang w:val="ru-RU"/>
        </w:rPr>
        <w:t>有序推进高标准农田保险试点工作，探索建管护一体化新路径，完善高标准农田管护机制，明确管护主体，落实管护责任，确保建成的工程设施正常运行。坚决遏制“非农化”、防止“非粮化”，严格落实耕地占补平衡和进出平衡。强化高标准农田用途管控，高标准农田原则上全部用于粮食生产。</w:t>
      </w:r>
    </w:p>
    <w:tbl>
      <w:tblPr>
        <w:tblStyle w:val="14"/>
        <w:tblW w:w="50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noWrap w:val="0"/>
            <w:vAlign w:val="center"/>
          </w:tcPr>
          <w:p>
            <w:pPr>
              <w:overflowPunct w:val="0"/>
              <w:autoSpaceDE w:val="0"/>
              <w:autoSpaceDN w:val="0"/>
              <w:spacing w:line="400" w:lineRule="exact"/>
              <w:jc w:val="center"/>
              <w:rPr>
                <w:rFonts w:hint="default" w:ascii="Times New Roman" w:hAnsi="Times New Roman" w:eastAsia="方正仿宋_GBK"/>
                <w:snapToGrid w:val="0"/>
                <w:color w:val="auto"/>
                <w:kern w:val="0"/>
                <w:sz w:val="30"/>
                <w:szCs w:val="30"/>
                <w:lang w:val="en-US" w:eastAsia="zh-CN"/>
              </w:rPr>
            </w:pPr>
            <w:r>
              <w:rPr>
                <w:rFonts w:hint="eastAsia" w:ascii="仿宋" w:hAnsi="仿宋" w:eastAsia="仿宋" w:cs="仿宋"/>
                <w:b/>
                <w:bCs/>
                <w:snapToGrid w:val="0"/>
                <w:color w:val="auto"/>
                <w:kern w:val="0"/>
                <w:sz w:val="30"/>
                <w:szCs w:val="30"/>
              </w:rPr>
              <w:t>专栏</w:t>
            </w:r>
            <w:r>
              <w:rPr>
                <w:rFonts w:hint="eastAsia" w:ascii="仿宋" w:hAnsi="仿宋" w:cs="仿宋"/>
                <w:b/>
                <w:bCs/>
                <w:snapToGrid w:val="0"/>
                <w:color w:val="auto"/>
                <w:kern w:val="0"/>
                <w:sz w:val="30"/>
                <w:szCs w:val="30"/>
                <w:lang w:val="en-US" w:eastAsia="zh-CN"/>
              </w:rPr>
              <w:t>6</w:t>
            </w:r>
            <w:r>
              <w:rPr>
                <w:rFonts w:hint="eastAsia" w:ascii="仿宋" w:hAnsi="仿宋" w:eastAsia="仿宋" w:cs="仿宋"/>
                <w:b/>
                <w:bCs/>
                <w:snapToGrid w:val="0"/>
                <w:color w:val="auto"/>
                <w:kern w:val="0"/>
                <w:sz w:val="30"/>
                <w:szCs w:val="30"/>
                <w:lang w:val="en-US" w:eastAsia="zh-CN"/>
              </w:rPr>
              <w:t xml:space="preserve"> </w:t>
            </w:r>
            <w:r>
              <w:rPr>
                <w:rFonts w:hint="eastAsia" w:ascii="仿宋" w:hAnsi="仿宋" w:eastAsia="仿宋" w:cs="仿宋"/>
                <w:b/>
                <w:bCs/>
                <w:snapToGrid w:val="0"/>
                <w:color w:val="auto"/>
                <w:kern w:val="0"/>
                <w:sz w:val="30"/>
                <w:szCs w:val="30"/>
                <w:lang w:val="ru-RU"/>
              </w:rPr>
              <w:t>整县推进工程试点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noWrap w:val="0"/>
            <w:vAlign w:val="top"/>
          </w:tcPr>
          <w:p>
            <w:pPr>
              <w:pStyle w:val="7"/>
              <w:keepNext w:val="0"/>
              <w:keepLines w:val="0"/>
              <w:pageBreakBefore w:val="0"/>
              <w:widowControl w:val="0"/>
              <w:kinsoku w:val="0"/>
              <w:wordWrap/>
              <w:overflowPunct w:val="0"/>
              <w:topLinePunct w:val="0"/>
              <w:autoSpaceDE/>
              <w:autoSpaceDN/>
              <w:bidi w:val="0"/>
              <w:adjustRightInd/>
              <w:snapToGrid/>
              <w:spacing w:beforeLines="0" w:afterLines="0" w:line="400" w:lineRule="exact"/>
              <w:ind w:left="0" w:firstLine="480"/>
              <w:textAlignment w:val="auto"/>
              <w:rPr>
                <w:rFonts w:hint="default" w:ascii="Times New Roman" w:hAnsi="Times New Roman" w:eastAsia="仿宋"/>
                <w:snapToGrid w:val="0"/>
                <w:color w:val="auto"/>
                <w:kern w:val="0"/>
                <w:sz w:val="30"/>
                <w:szCs w:val="30"/>
                <w:lang w:val="en-US" w:eastAsia="zh-CN"/>
              </w:rPr>
            </w:pPr>
            <w:r>
              <w:rPr>
                <w:rFonts w:hint="eastAsia" w:ascii="仿宋" w:hAnsi="仿宋" w:eastAsia="仿宋" w:cs="仿宋"/>
                <w:color w:val="auto"/>
                <w:sz w:val="30"/>
                <w:szCs w:val="30"/>
              </w:rPr>
              <w:t>在潜力大、基础条件好、积极性高的地区，整区域推进高标准农田建设，基本实现区域内划定的永久基本农田全部建成高标准农田。通过整区域推进，集聚要素、创新机制、树立典型、总结经验，引领带动高标准农田建设高质量发展。到“十四五”末</w:t>
            </w:r>
            <w:r>
              <w:rPr>
                <w:rFonts w:hint="eastAsia" w:ascii="仿宋" w:hAnsi="仿宋" w:eastAsia="仿宋" w:cs="仿宋"/>
                <w:color w:val="auto"/>
                <w:sz w:val="30"/>
                <w:szCs w:val="30"/>
                <w:lang w:val="en-US" w:eastAsia="zh-CN"/>
              </w:rPr>
              <w:t>，全省建成10个</w:t>
            </w:r>
            <w:r>
              <w:rPr>
                <w:rFonts w:hint="eastAsia" w:ascii="仿宋" w:hAnsi="仿宋" w:eastAsia="仿宋" w:cs="仿宋"/>
                <w:color w:val="auto"/>
                <w:sz w:val="30"/>
                <w:szCs w:val="30"/>
              </w:rPr>
              <w:t>高标准农田建设整县推进工程试点</w:t>
            </w:r>
            <w:r>
              <w:rPr>
                <w:rFonts w:hint="eastAsia" w:ascii="仿宋" w:hAnsi="仿宋" w:eastAsia="仿宋" w:cs="仿宋"/>
                <w:color w:val="auto"/>
                <w:sz w:val="30"/>
                <w:szCs w:val="30"/>
                <w:lang w:val="en-US" w:eastAsia="zh-CN"/>
              </w:rPr>
              <w:t>，我市东至县列为省级试点县。</w:t>
            </w:r>
          </w:p>
        </w:tc>
      </w:tr>
    </w:tbl>
    <w:p>
      <w:pPr>
        <w:pStyle w:val="3"/>
        <w:bidi w:val="0"/>
        <w:rPr>
          <w:b w:val="0"/>
          <w:bCs w:val="0"/>
          <w:color w:val="auto"/>
        </w:rPr>
      </w:pPr>
      <w:bookmarkStart w:id="100" w:name="_Toc18426_WPSOffice_Level1"/>
      <w:bookmarkStart w:id="101" w:name="_Toc10411_WPSOffice_Level1"/>
      <w:bookmarkStart w:id="102" w:name="_Toc101193332"/>
      <w:r>
        <w:rPr>
          <w:rFonts w:hint="eastAsia"/>
          <w:b w:val="0"/>
          <w:bCs w:val="0"/>
          <w:color w:val="auto"/>
          <w:lang w:val="en-US" w:eastAsia="zh-CN"/>
        </w:rPr>
        <w:t xml:space="preserve">第五章 </w:t>
      </w:r>
      <w:r>
        <w:rPr>
          <w:b w:val="0"/>
          <w:bCs w:val="0"/>
          <w:color w:val="auto"/>
        </w:rPr>
        <w:t>建设监管和建后管护</w:t>
      </w:r>
      <w:bookmarkEnd w:id="100"/>
      <w:bookmarkEnd w:id="101"/>
      <w:bookmarkEnd w:id="102"/>
    </w:p>
    <w:p>
      <w:pPr>
        <w:pStyle w:val="4"/>
        <w:ind w:left="0" w:leftChars="0" w:firstLine="640" w:firstLineChars="200"/>
        <w:rPr>
          <w:rFonts w:hint="eastAsia"/>
          <w:b w:val="0"/>
          <w:bCs w:val="0"/>
          <w:color w:val="auto"/>
          <w:sz w:val="32"/>
          <w:szCs w:val="32"/>
          <w:lang w:val="en-US" w:eastAsia="zh-CN"/>
        </w:rPr>
      </w:pPr>
      <w:bookmarkStart w:id="103" w:name="_Toc2084_WPSOffice_Level2"/>
      <w:bookmarkStart w:id="104" w:name="_Toc1350_WPSOffice_Level2"/>
      <w:r>
        <w:rPr>
          <w:rFonts w:hint="eastAsia"/>
          <w:b w:val="0"/>
          <w:bCs w:val="0"/>
          <w:color w:val="auto"/>
          <w:sz w:val="32"/>
          <w:szCs w:val="32"/>
          <w:lang w:val="en-US" w:eastAsia="zh-CN"/>
        </w:rPr>
        <w:t>一、强化质量管理</w:t>
      </w:r>
      <w:bookmarkEnd w:id="103"/>
      <w:bookmarkEnd w:id="104"/>
    </w:p>
    <w:p>
      <w:pPr>
        <w:bidi w:val="0"/>
        <w:rPr>
          <w:rFonts w:hint="eastAsia" w:eastAsia="仿宋"/>
          <w:color w:val="auto"/>
          <w:sz w:val="32"/>
          <w:szCs w:val="32"/>
          <w:lang w:val="en-US" w:eastAsia="zh-CN"/>
        </w:rPr>
      </w:pPr>
      <w:r>
        <w:rPr>
          <w:rFonts w:hint="eastAsia" w:ascii="楷体" w:hAnsi="楷体" w:eastAsia="楷体" w:cs="楷体"/>
          <w:color w:val="auto"/>
          <w:sz w:val="32"/>
          <w:szCs w:val="32"/>
        </w:rPr>
        <w:t>（一）健全质量体系。</w:t>
      </w:r>
      <w:r>
        <w:rPr>
          <w:color w:val="auto"/>
          <w:sz w:val="32"/>
          <w:szCs w:val="32"/>
        </w:rPr>
        <w:t>根据全</w:t>
      </w:r>
      <w:r>
        <w:rPr>
          <w:rFonts w:hint="eastAsia"/>
          <w:color w:val="auto"/>
          <w:sz w:val="32"/>
          <w:szCs w:val="32"/>
          <w:lang w:val="en-US" w:eastAsia="zh-CN"/>
        </w:rPr>
        <w:t>市</w:t>
      </w:r>
      <w:r>
        <w:rPr>
          <w:color w:val="auto"/>
          <w:sz w:val="32"/>
          <w:szCs w:val="32"/>
        </w:rPr>
        <w:t>不同区域农田特点，分类建立高标准农田建设技术标准，规范田块整治、土壤改良、灌溉与排水、田间道路、农田防护和生态环境保护、农田输配电等具体建设标准。制定项目初步设计、实施方案编制规范，提高项目设计方案编制的科学性、可行性和精准性。制定项目运行管理指南，实现农田建设项目全流程规范高效管理。</w:t>
      </w:r>
    </w:p>
    <w:p>
      <w:pPr>
        <w:bidi w:val="0"/>
        <w:rPr>
          <w:color w:val="auto"/>
          <w:sz w:val="32"/>
          <w:szCs w:val="32"/>
        </w:rPr>
      </w:pPr>
      <w:r>
        <w:rPr>
          <w:rFonts w:hint="eastAsia" w:ascii="楷体" w:hAnsi="楷体" w:eastAsia="楷体" w:cs="楷体"/>
          <w:color w:val="auto"/>
          <w:sz w:val="32"/>
          <w:szCs w:val="32"/>
        </w:rPr>
        <w:t>（二）严控建设质量。</w:t>
      </w:r>
      <w:r>
        <w:rPr>
          <w:color w:val="auto"/>
          <w:sz w:val="32"/>
          <w:szCs w:val="32"/>
        </w:rPr>
        <w:t>适应农业高质量发展要求，合理规划建设布局，科学设计建设内容，统一组织项目实施。全面推行项目法人制、招标投标制、工程监理制、合同管理制，实现项目精细化管理，严格执行相关建设标准和规范，落实工程质量管理责任，确保工程建设质量。</w:t>
      </w:r>
    </w:p>
    <w:p>
      <w:pPr>
        <w:bidi w:val="0"/>
        <w:rPr>
          <w:color w:val="auto"/>
          <w:sz w:val="32"/>
          <w:szCs w:val="32"/>
        </w:rPr>
      </w:pPr>
      <w:r>
        <w:rPr>
          <w:rFonts w:hint="eastAsia" w:ascii="楷体" w:hAnsi="楷体" w:eastAsia="楷体" w:cs="楷体"/>
          <w:color w:val="auto"/>
          <w:sz w:val="32"/>
          <w:szCs w:val="32"/>
        </w:rPr>
        <w:t>（三）开展质量评价。</w:t>
      </w:r>
      <w:r>
        <w:rPr>
          <w:color w:val="auto"/>
          <w:sz w:val="32"/>
          <w:szCs w:val="32"/>
        </w:rPr>
        <w:t>依托高标准农田耕地质量定位监测点，跟踪监测土壤理化性状、区域性特征等指标。按照《耕地质量等级》（GB/T33469），在建设前后分别开展耕地质量等级变更调查，评价高标准农田粮食产能水平，逐步实</w:t>
      </w:r>
      <w:r>
        <w:rPr>
          <w:rFonts w:hint="eastAsia"/>
          <w:color w:val="auto"/>
          <w:sz w:val="32"/>
          <w:szCs w:val="32"/>
        </w:rPr>
        <w:t>现“建设一片、调查一片、评价一片”</w:t>
      </w:r>
      <w:r>
        <w:rPr>
          <w:color w:val="auto"/>
          <w:sz w:val="32"/>
          <w:szCs w:val="32"/>
        </w:rPr>
        <w:t>。</w:t>
      </w:r>
    </w:p>
    <w:p>
      <w:pPr>
        <w:bidi w:val="0"/>
        <w:rPr>
          <w:rFonts w:hint="eastAsia"/>
          <w:color w:val="auto"/>
          <w:sz w:val="32"/>
          <w:szCs w:val="32"/>
          <w:lang w:val="en-US" w:eastAsia="zh-CN"/>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四</w:t>
      </w: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加强社会监督。</w:t>
      </w:r>
      <w:r>
        <w:rPr>
          <w:rFonts w:hint="eastAsia"/>
          <w:color w:val="auto"/>
          <w:sz w:val="32"/>
          <w:szCs w:val="32"/>
        </w:rPr>
        <w:t>尊重农民意愿,维护农民权益,保障农民知情权、参与权和监督权。及时公开项目建设相关信息,在项目区设立统一规范的公示标牌和标志,接受社会和群众监督。</w:t>
      </w:r>
    </w:p>
    <w:p>
      <w:pPr>
        <w:pStyle w:val="4"/>
        <w:ind w:left="0" w:leftChars="0" w:firstLine="640" w:firstLineChars="200"/>
        <w:rPr>
          <w:rFonts w:hint="eastAsia"/>
          <w:b w:val="0"/>
          <w:bCs w:val="0"/>
          <w:color w:val="auto"/>
          <w:sz w:val="32"/>
          <w:szCs w:val="32"/>
          <w:lang w:val="en-US" w:eastAsia="zh-CN"/>
        </w:rPr>
      </w:pPr>
      <w:bookmarkStart w:id="105" w:name="_Toc24511_WPSOffice_Level2"/>
      <w:bookmarkStart w:id="106" w:name="_Toc8875_WPSOffice_Level2"/>
      <w:bookmarkStart w:id="107" w:name="_Toc101193335"/>
      <w:r>
        <w:rPr>
          <w:rFonts w:hint="eastAsia"/>
          <w:b w:val="0"/>
          <w:bCs w:val="0"/>
          <w:color w:val="auto"/>
          <w:sz w:val="32"/>
          <w:szCs w:val="32"/>
          <w:lang w:val="en-US" w:eastAsia="zh-CN"/>
        </w:rPr>
        <w:t>二、统一上图入库</w:t>
      </w:r>
      <w:bookmarkEnd w:id="105"/>
      <w:bookmarkEnd w:id="106"/>
      <w:bookmarkEnd w:id="107"/>
    </w:p>
    <w:p>
      <w:pPr>
        <w:bidi w:val="0"/>
        <w:rPr>
          <w:rFonts w:hint="eastAsia"/>
          <w:color w:val="auto"/>
          <w:sz w:val="32"/>
          <w:szCs w:val="32"/>
        </w:rPr>
      </w:pPr>
      <w:r>
        <w:rPr>
          <w:rFonts w:hint="eastAsia" w:ascii="楷体" w:hAnsi="楷体" w:eastAsia="楷体" w:cs="楷体"/>
          <w:color w:val="auto"/>
          <w:sz w:val="32"/>
          <w:szCs w:val="32"/>
          <w:lang w:val="en-US" w:eastAsia="zh-CN"/>
        </w:rPr>
        <w:t>（一）完善信息平台。</w:t>
      </w:r>
      <w:r>
        <w:rPr>
          <w:rFonts w:hint="eastAsia"/>
          <w:color w:val="auto"/>
          <w:sz w:val="32"/>
          <w:szCs w:val="32"/>
        </w:rPr>
        <w:t>充分利用现有资源,加快农田管理大数据平台建设,做好相关信息系统的对接移交和数据共享,以土地利用现状图为底图,全面承接高标准农田建设历史数据,把高标准农田建设项目立项、实施、验收、使用等各阶段信息及时上图入库,形成全</w:t>
      </w:r>
      <w:r>
        <w:rPr>
          <w:rFonts w:hint="eastAsia"/>
          <w:color w:val="auto"/>
          <w:sz w:val="32"/>
          <w:szCs w:val="32"/>
          <w:lang w:val="en-US" w:eastAsia="zh-CN"/>
        </w:rPr>
        <w:t>市</w:t>
      </w:r>
      <w:r>
        <w:rPr>
          <w:rFonts w:hint="eastAsia"/>
          <w:color w:val="auto"/>
          <w:sz w:val="32"/>
          <w:szCs w:val="32"/>
        </w:rPr>
        <w:t>高标准农田建设“一张图”。</w:t>
      </w:r>
    </w:p>
    <w:p>
      <w:pPr>
        <w:bidi w:val="0"/>
        <w:rPr>
          <w:rFonts w:hint="eastAsia"/>
          <w:color w:val="auto"/>
          <w:sz w:val="32"/>
          <w:szCs w:val="32"/>
        </w:rPr>
      </w:pPr>
      <w:bookmarkStart w:id="108" w:name="_Toc101193334"/>
      <w:r>
        <w:rPr>
          <w:rFonts w:hint="eastAsia" w:ascii="楷体" w:hAnsi="楷体" w:eastAsia="楷体" w:cs="楷体"/>
          <w:color w:val="auto"/>
          <w:sz w:val="32"/>
          <w:szCs w:val="32"/>
          <w:lang w:val="en-US" w:eastAsia="zh-CN"/>
        </w:rPr>
        <w:t>（二）加强动态监管。</w:t>
      </w:r>
      <w:r>
        <w:rPr>
          <w:rFonts w:hint="eastAsia"/>
          <w:color w:val="auto"/>
          <w:sz w:val="32"/>
          <w:szCs w:val="32"/>
        </w:rPr>
        <w:t>综合运用遥感技术、卫星导航定位、地理信息系统、移动通信、区块链等现代信息技术手段，构建天空地一体的立体化监测监管体系，实现高标准农田建设的有据可查、全程监控、精准管理。</w:t>
      </w:r>
    </w:p>
    <w:p>
      <w:pPr>
        <w:bidi w:val="0"/>
        <w:rPr>
          <w:rFonts w:hint="eastAsia"/>
          <w:color w:val="auto"/>
          <w:sz w:val="32"/>
          <w:szCs w:val="32"/>
        </w:rPr>
      </w:pPr>
      <w:r>
        <w:rPr>
          <w:rFonts w:hint="eastAsia" w:ascii="楷体" w:hAnsi="楷体" w:eastAsia="楷体" w:cs="楷体"/>
          <w:color w:val="auto"/>
          <w:sz w:val="32"/>
          <w:szCs w:val="32"/>
          <w:lang w:val="en-US" w:eastAsia="zh-CN"/>
        </w:rPr>
        <w:t>（三）强化信息共享。</w:t>
      </w:r>
      <w:r>
        <w:rPr>
          <w:rFonts w:hint="eastAsia"/>
          <w:color w:val="auto"/>
          <w:sz w:val="32"/>
          <w:szCs w:val="32"/>
        </w:rPr>
        <w:t>落实</w:t>
      </w:r>
      <w:r>
        <w:rPr>
          <w:rFonts w:hint="eastAsia"/>
          <w:color w:val="auto"/>
          <w:sz w:val="32"/>
          <w:szCs w:val="32"/>
          <w:lang w:val="en-US" w:eastAsia="zh-CN"/>
        </w:rPr>
        <w:t>安徽省</w:t>
      </w:r>
      <w:r>
        <w:rPr>
          <w:rFonts w:hint="eastAsia"/>
          <w:color w:val="auto"/>
          <w:sz w:val="32"/>
          <w:szCs w:val="32"/>
        </w:rPr>
        <w:t>关于政务信息资源共享管理要求，完善部门间信息共享机制，实现农田建设、保护、利用信息的互通共享。加强数据分析，为高标准农田建设管理和保护利用提供决策支撑。</w:t>
      </w:r>
    </w:p>
    <w:p>
      <w:pPr>
        <w:pStyle w:val="4"/>
        <w:ind w:left="0" w:leftChars="0" w:firstLine="640" w:firstLineChars="200"/>
        <w:rPr>
          <w:rFonts w:hint="eastAsia"/>
          <w:b w:val="0"/>
          <w:bCs w:val="0"/>
          <w:color w:val="auto"/>
          <w:sz w:val="32"/>
          <w:szCs w:val="32"/>
          <w:lang w:val="en-US" w:eastAsia="zh-CN"/>
        </w:rPr>
      </w:pPr>
      <w:bookmarkStart w:id="109" w:name="_Toc18820_WPSOffice_Level2"/>
      <w:bookmarkStart w:id="110" w:name="_Toc10619_WPSOffice_Level2"/>
      <w:r>
        <w:rPr>
          <w:rFonts w:hint="eastAsia"/>
          <w:b w:val="0"/>
          <w:bCs w:val="0"/>
          <w:color w:val="auto"/>
          <w:sz w:val="32"/>
          <w:szCs w:val="32"/>
          <w:lang w:val="en-US" w:eastAsia="zh-CN"/>
        </w:rPr>
        <w:t>三、规范竣工验收</w:t>
      </w:r>
      <w:bookmarkEnd w:id="108"/>
      <w:bookmarkEnd w:id="109"/>
      <w:bookmarkEnd w:id="110"/>
    </w:p>
    <w:p>
      <w:pPr>
        <w:bidi w:val="0"/>
        <w:rPr>
          <w:rFonts w:hint="eastAsia"/>
          <w:color w:val="auto"/>
          <w:sz w:val="32"/>
          <w:szCs w:val="32"/>
        </w:rPr>
      </w:pPr>
      <w:bookmarkStart w:id="111" w:name="_Toc101193336"/>
      <w:r>
        <w:rPr>
          <w:rFonts w:hint="eastAsia" w:ascii="楷体" w:hAnsi="楷体" w:eastAsia="楷体" w:cs="楷体"/>
          <w:color w:val="auto"/>
          <w:sz w:val="32"/>
          <w:szCs w:val="32"/>
          <w:lang w:val="en-US" w:eastAsia="zh-CN"/>
        </w:rPr>
        <w:t>（一）明确验收程序。</w:t>
      </w:r>
      <w:r>
        <w:rPr>
          <w:rFonts w:hint="eastAsia"/>
          <w:color w:val="auto"/>
          <w:sz w:val="32"/>
          <w:szCs w:val="32"/>
        </w:rPr>
        <w:t>按照“谁审批、谁验收”的原则，县级和市级农业农村部门根据现行农田建设项目管理规定和竣工验收工作规定，</w:t>
      </w:r>
      <w:r>
        <w:rPr>
          <w:rFonts w:hint="eastAsia"/>
          <w:color w:val="auto"/>
          <w:sz w:val="32"/>
          <w:szCs w:val="32"/>
          <w:lang w:eastAsia="zh-CN"/>
        </w:rPr>
        <w:t>县级</w:t>
      </w:r>
      <w:r>
        <w:rPr>
          <w:rFonts w:hint="eastAsia"/>
          <w:color w:val="auto"/>
          <w:sz w:val="32"/>
          <w:szCs w:val="32"/>
        </w:rPr>
        <w:t>组织开展所有建设项目初步验收工作</w:t>
      </w:r>
      <w:r>
        <w:rPr>
          <w:rFonts w:hint="eastAsia"/>
          <w:color w:val="auto"/>
          <w:sz w:val="32"/>
          <w:szCs w:val="32"/>
          <w:lang w:eastAsia="zh-CN"/>
        </w:rPr>
        <w:t>，市级组织开展所有建设项目预审和</w:t>
      </w:r>
      <w:r>
        <w:rPr>
          <w:rFonts w:hint="eastAsia"/>
          <w:color w:val="auto"/>
          <w:sz w:val="32"/>
          <w:szCs w:val="32"/>
        </w:rPr>
        <w:t>竣工验收工作。</w:t>
      </w:r>
      <w:r>
        <w:rPr>
          <w:rFonts w:hint="eastAsia"/>
          <w:color w:val="auto"/>
          <w:sz w:val="32"/>
          <w:szCs w:val="32"/>
          <w:lang w:eastAsia="zh-CN"/>
        </w:rPr>
        <w:t>对竣工验收不合格的项目，按要求进行整改，</w:t>
      </w:r>
      <w:r>
        <w:rPr>
          <w:rFonts w:hint="eastAsia"/>
          <w:color w:val="auto"/>
          <w:sz w:val="32"/>
          <w:szCs w:val="32"/>
        </w:rPr>
        <w:t>对竣工验收合格</w:t>
      </w:r>
      <w:r>
        <w:rPr>
          <w:rFonts w:hint="eastAsia"/>
          <w:color w:val="auto"/>
          <w:sz w:val="32"/>
          <w:szCs w:val="32"/>
          <w:lang w:eastAsia="zh-CN"/>
        </w:rPr>
        <w:t>和整改合格</w:t>
      </w:r>
      <w:r>
        <w:rPr>
          <w:rFonts w:hint="eastAsia"/>
          <w:color w:val="auto"/>
          <w:sz w:val="32"/>
          <w:szCs w:val="32"/>
        </w:rPr>
        <w:t>的项目，核发农业农村部统一格式的竣工验收合格证书。</w:t>
      </w:r>
    </w:p>
    <w:p>
      <w:pPr>
        <w:bidi w:val="0"/>
        <w:rPr>
          <w:rFonts w:hint="eastAsia"/>
          <w:color w:val="auto"/>
          <w:sz w:val="32"/>
          <w:szCs w:val="32"/>
        </w:rPr>
      </w:pPr>
      <w:r>
        <w:rPr>
          <w:rFonts w:hint="eastAsia" w:ascii="楷体" w:hAnsi="楷体" w:eastAsia="楷体" w:cs="楷体"/>
          <w:color w:val="auto"/>
          <w:sz w:val="32"/>
          <w:szCs w:val="32"/>
          <w:lang w:val="en-US" w:eastAsia="zh-CN"/>
        </w:rPr>
        <w:t>（二）规范项目归档。</w:t>
      </w:r>
      <w:r>
        <w:rPr>
          <w:rFonts w:hint="eastAsia"/>
          <w:color w:val="auto"/>
          <w:sz w:val="32"/>
          <w:szCs w:val="32"/>
        </w:rPr>
        <w:t>按照高标准农田档案管理有关规定，做好项目档案的收集、整理、组卷、存档工作。突出隐蔽工程、关键节点工序、重要部位等环节资料收集，全面体现项目建设和管理水平。推行项目档案资料数字化管理，按照组卷分类原则，对纸质文档、图片资料进行数字化处理归档，提高管理质效。</w:t>
      </w:r>
    </w:p>
    <w:p>
      <w:pPr>
        <w:bidi w:val="0"/>
        <w:rPr>
          <w:rFonts w:hint="eastAsia"/>
          <w:color w:val="auto"/>
          <w:sz w:val="32"/>
          <w:szCs w:val="32"/>
        </w:rPr>
      </w:pPr>
      <w:r>
        <w:rPr>
          <w:rFonts w:hint="eastAsia" w:ascii="楷体" w:hAnsi="楷体" w:eastAsia="楷体" w:cs="楷体"/>
          <w:color w:val="auto"/>
          <w:sz w:val="32"/>
          <w:szCs w:val="32"/>
          <w:lang w:val="en-US" w:eastAsia="zh-CN"/>
        </w:rPr>
        <w:t>（三）做好工程移交。</w:t>
      </w:r>
      <w:r>
        <w:rPr>
          <w:rFonts w:hint="eastAsia"/>
          <w:color w:val="auto"/>
          <w:sz w:val="32"/>
          <w:szCs w:val="32"/>
        </w:rPr>
        <w:t>工程竣工验收后，及时按照有关规定办理交付利用手续，做好登记造册，明确工程设施的所有权和使用权。需要变更权属的，及时办理变更登记发证，确保建成后的高标准农田权属清晰。</w:t>
      </w:r>
      <w:bookmarkStart w:id="112" w:name="_Toc31361_WPSOffice_Level2"/>
    </w:p>
    <w:p>
      <w:pPr>
        <w:bidi w:val="0"/>
        <w:rPr>
          <w:rFonts w:hint="eastAsia" w:ascii="CESI黑体-GB2312" w:hAnsi="CESI黑体-GB2312" w:eastAsia="CESI黑体-GB2312" w:cs="CESI黑体-GB2312"/>
          <w:b w:val="0"/>
          <w:bCs w:val="0"/>
          <w:color w:val="auto"/>
          <w:sz w:val="32"/>
          <w:szCs w:val="32"/>
          <w:lang w:val="en-US" w:eastAsia="zh-CN"/>
        </w:rPr>
      </w:pPr>
      <w:bookmarkStart w:id="113" w:name="_Toc23458_WPSOffice_Level2"/>
      <w:r>
        <w:rPr>
          <w:rFonts w:hint="eastAsia" w:ascii="CESI黑体-GB2312" w:hAnsi="CESI黑体-GB2312" w:eastAsia="CESI黑体-GB2312" w:cs="CESI黑体-GB2312"/>
          <w:b w:val="0"/>
          <w:bCs w:val="0"/>
          <w:color w:val="auto"/>
          <w:sz w:val="32"/>
          <w:szCs w:val="32"/>
          <w:lang w:val="en-US" w:eastAsia="zh-CN"/>
        </w:rPr>
        <w:t>四、加强建后管护</w:t>
      </w:r>
      <w:bookmarkEnd w:id="111"/>
      <w:bookmarkEnd w:id="112"/>
      <w:bookmarkEnd w:id="113"/>
    </w:p>
    <w:p>
      <w:pPr>
        <w:bidi w:val="0"/>
        <w:rPr>
          <w:rFonts w:hint="eastAsia"/>
          <w:color w:val="auto"/>
          <w:sz w:val="32"/>
          <w:szCs w:val="32"/>
        </w:rPr>
      </w:pPr>
      <w:r>
        <w:rPr>
          <w:rFonts w:hint="eastAsia" w:ascii="楷体" w:hAnsi="楷体" w:eastAsia="楷体" w:cs="楷体"/>
          <w:color w:val="auto"/>
          <w:sz w:val="32"/>
          <w:szCs w:val="32"/>
          <w:lang w:val="en-US" w:eastAsia="zh-CN"/>
        </w:rPr>
        <w:t>（一）健全管护机制。</w:t>
      </w:r>
      <w:r>
        <w:rPr>
          <w:rFonts w:hint="eastAsia"/>
          <w:color w:val="auto"/>
          <w:sz w:val="32"/>
          <w:szCs w:val="32"/>
        </w:rPr>
        <w:t>按照“谁受益、谁管护，谁使用、谁管护”的原则，健全完善“县负总责、乡镇监管、村为主体”的高标准农田建后管护机制，</w:t>
      </w:r>
      <w:r>
        <w:rPr>
          <w:rFonts w:hint="eastAsia"/>
          <w:strike w:val="0"/>
          <w:dstrike w:val="0"/>
          <w:color w:val="auto"/>
          <w:sz w:val="32"/>
          <w:szCs w:val="32"/>
        </w:rPr>
        <w:t>完善高标准农田建后管护制度,明确各级</w:t>
      </w:r>
      <w:r>
        <w:rPr>
          <w:rFonts w:hint="eastAsia"/>
          <w:strike w:val="0"/>
          <w:dstrike w:val="0"/>
          <w:color w:val="auto"/>
          <w:sz w:val="32"/>
          <w:szCs w:val="32"/>
          <w:lang w:val="en-US" w:eastAsia="zh-CN"/>
        </w:rPr>
        <w:t>部门</w:t>
      </w:r>
      <w:r>
        <w:rPr>
          <w:rFonts w:hint="eastAsia"/>
          <w:strike w:val="0"/>
          <w:dstrike w:val="0"/>
          <w:color w:val="auto"/>
          <w:sz w:val="32"/>
          <w:szCs w:val="32"/>
        </w:rPr>
        <w:t>相关责任,</w:t>
      </w:r>
      <w:r>
        <w:rPr>
          <w:rFonts w:hint="eastAsia"/>
          <w:color w:val="auto"/>
          <w:sz w:val="32"/>
          <w:szCs w:val="32"/>
        </w:rPr>
        <w:t>落实管护主体，压实管护责任。发挥村级组织、承包经营者在工程管护中的主体作用，落实受益对象管护投入责任，引导和激励专业大户、家庭农场、农民合作社等参与农田设施的日常维护。乡镇政府和村级组织要加强对管护主体和管护人员的定期技术指导、服务和监管。</w:t>
      </w:r>
    </w:p>
    <w:p>
      <w:pPr>
        <w:bidi w:val="0"/>
        <w:rPr>
          <w:rFonts w:hint="eastAsia"/>
          <w:color w:val="auto"/>
          <w:sz w:val="32"/>
          <w:szCs w:val="32"/>
        </w:rPr>
      </w:pPr>
      <w:r>
        <w:rPr>
          <w:rFonts w:hint="eastAsia" w:ascii="楷体" w:hAnsi="楷体" w:eastAsia="楷体" w:cs="楷体"/>
          <w:color w:val="auto"/>
          <w:sz w:val="32"/>
          <w:szCs w:val="32"/>
          <w:lang w:val="en-US" w:eastAsia="zh-CN"/>
        </w:rPr>
        <w:t>（二）创新管护路径。</w:t>
      </w:r>
      <w:r>
        <w:rPr>
          <w:rFonts w:hint="eastAsia"/>
          <w:color w:val="auto"/>
          <w:sz w:val="32"/>
          <w:szCs w:val="32"/>
        </w:rPr>
        <w:t>探索推行新型农业经营主体和专业管护机构、专业协会等社会化服务组织参与的管护模式，落实省级农田建后运行管护保险试点相关要求</w:t>
      </w:r>
      <w:r>
        <w:rPr>
          <w:rFonts w:hint="eastAsia"/>
          <w:color w:val="auto"/>
          <w:sz w:val="32"/>
          <w:szCs w:val="32"/>
          <w:lang w:eastAsia="zh-CN"/>
        </w:rPr>
        <w:t>，</w:t>
      </w:r>
      <w:r>
        <w:rPr>
          <w:rFonts w:hint="eastAsia"/>
          <w:color w:val="auto"/>
          <w:sz w:val="32"/>
          <w:szCs w:val="32"/>
        </w:rPr>
        <w:t>开展高标准农田保险试点，探索建立项目建管护一体化新机制，形成多元管护格局。</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（三）落实管护资金。</w:t>
      </w:r>
      <w:r>
        <w:rPr>
          <w:rFonts w:hint="eastAsia"/>
          <w:color w:val="auto"/>
          <w:sz w:val="32"/>
          <w:szCs w:val="32"/>
          <w:lang w:val="en-US" w:eastAsia="zh-CN"/>
        </w:rPr>
        <w:t>各地要将管护经费纳入县级预算，要建立农田建设项目管护经费合理保障机制，制定管护经费补助标准。对灌溉渠系、喷灌、微灌设施、机耕路、生产桥（涵）、农田林网等公益性强的农田基础设施管护，由县级政府根据实际情况适当给予经费补助。完善鼓励社会资本积极参与高标准农田管护的政策措施。建立管护资金使用管理绩效评价制度。</w:t>
      </w:r>
    </w:p>
    <w:p>
      <w:pPr>
        <w:bidi w:val="0"/>
        <w:rPr>
          <w:rFonts w:hint="eastAsia"/>
          <w:color w:val="auto"/>
          <w:sz w:val="32"/>
          <w:szCs w:val="32"/>
        </w:rPr>
      </w:pPr>
      <w:r>
        <w:rPr>
          <w:rFonts w:hint="eastAsia" w:ascii="楷体" w:hAnsi="楷体" w:eastAsia="楷体" w:cs="楷体"/>
          <w:color w:val="auto"/>
          <w:sz w:val="32"/>
          <w:szCs w:val="32"/>
          <w:lang w:val="en-US" w:eastAsia="zh-CN"/>
        </w:rPr>
        <w:t>（四）推进农业水价综合改革。</w:t>
      </w:r>
      <w:r>
        <w:rPr>
          <w:rFonts w:hint="eastAsia"/>
          <w:color w:val="auto"/>
          <w:sz w:val="32"/>
          <w:szCs w:val="32"/>
        </w:rPr>
        <w:t>统筹推进农业水价形成机制、农田水利工程建设和管护机制、精准补贴和节水奖励机制、终端用水管理机制建立，促进农业节水和农田水利工程的良性运行。</w:t>
      </w:r>
    </w:p>
    <w:p>
      <w:pPr>
        <w:pStyle w:val="4"/>
        <w:ind w:left="0" w:leftChars="0" w:firstLine="640" w:firstLineChars="200"/>
        <w:rPr>
          <w:rFonts w:hint="eastAsia"/>
          <w:b w:val="0"/>
          <w:bCs w:val="0"/>
          <w:color w:val="auto"/>
          <w:sz w:val="32"/>
          <w:szCs w:val="32"/>
          <w:lang w:val="en-US" w:eastAsia="zh-CN"/>
        </w:rPr>
      </w:pPr>
      <w:bookmarkStart w:id="114" w:name="_Toc101193337"/>
      <w:bookmarkStart w:id="115" w:name="_Toc4980_WPSOffice_Level2"/>
      <w:bookmarkStart w:id="116" w:name="_Toc4028_WPSOffice_Level2"/>
      <w:r>
        <w:rPr>
          <w:rFonts w:hint="eastAsia"/>
          <w:b w:val="0"/>
          <w:bCs w:val="0"/>
          <w:color w:val="auto"/>
          <w:sz w:val="32"/>
          <w:szCs w:val="32"/>
          <w:lang w:val="en-US" w:eastAsia="zh-CN"/>
        </w:rPr>
        <w:t>五、严格保护利用</w:t>
      </w:r>
      <w:bookmarkEnd w:id="114"/>
      <w:bookmarkEnd w:id="115"/>
      <w:bookmarkEnd w:id="116"/>
    </w:p>
    <w:p>
      <w:pPr>
        <w:bidi w:val="0"/>
        <w:rPr>
          <w:rFonts w:hint="eastAsia" w:ascii="仿宋" w:hAnsi="仿宋" w:eastAsia="仿宋" w:cs="仿宋"/>
          <w:color w:val="auto"/>
          <w:sz w:val="32"/>
          <w:szCs w:val="32"/>
        </w:rPr>
      </w:pPr>
      <w:bookmarkStart w:id="117" w:name="_Toc101193338"/>
      <w:r>
        <w:rPr>
          <w:rFonts w:hint="eastAsia" w:ascii="楷体" w:hAnsi="楷体" w:eastAsia="楷体" w:cs="楷体"/>
          <w:color w:val="auto"/>
          <w:sz w:val="32"/>
          <w:szCs w:val="32"/>
          <w:lang w:val="en-US" w:eastAsia="zh-CN"/>
        </w:rPr>
        <w:t>（一）强化用途管控。</w:t>
      </w:r>
      <w:r>
        <w:rPr>
          <w:rFonts w:hint="eastAsia" w:ascii="仿宋" w:hAnsi="仿宋" w:eastAsia="仿宋" w:cs="仿宋"/>
          <w:color w:val="auto"/>
          <w:sz w:val="32"/>
          <w:szCs w:val="32"/>
        </w:rPr>
        <w:t>已建成的高标准农田，要及时划为永久基本农田，实行特殊保护，遏制“非农化”、防止“非粮化”，任何单位和个人不得损毁、擅自占用或改变用途。严格耕地占用审批，经依法批准占用高标准农田的，要及时补充，确保高标准农田数量不减少、质量不降低。</w:t>
      </w:r>
    </w:p>
    <w:p>
      <w:pPr>
        <w:bidi w:val="0"/>
        <w:rPr>
          <w:rFonts w:hint="eastAsia" w:ascii="仿宋" w:hAnsi="仿宋" w:eastAsia="仿宋" w:cs="仿宋"/>
          <w:color w:val="auto"/>
          <w:sz w:val="32"/>
          <w:szCs w:val="32"/>
        </w:rPr>
      </w:pPr>
      <w:r>
        <w:rPr>
          <w:rFonts w:hint="eastAsia" w:ascii="楷体" w:hAnsi="楷体" w:eastAsia="楷体" w:cs="楷体"/>
          <w:color w:val="auto"/>
          <w:sz w:val="32"/>
          <w:szCs w:val="32"/>
          <w:lang w:val="en-US" w:eastAsia="zh-CN"/>
        </w:rPr>
        <w:t>（二）加强农田保护。</w:t>
      </w:r>
      <w:r>
        <w:rPr>
          <w:rFonts w:hint="eastAsia" w:ascii="仿宋" w:hAnsi="仿宋" w:eastAsia="仿宋" w:cs="仿宋"/>
          <w:color w:val="auto"/>
          <w:sz w:val="32"/>
          <w:szCs w:val="32"/>
        </w:rPr>
        <w:t>推行合理耕作制度，实行用地养地相结合，加强后续培肥，防止地力下降，确保可持续利用。对水毁等自然损毁的高标准农田，要纳入年度建设任务，及时进行修复或补充。严禁将不达标污水排入农田，严禁将生活垃圾、工业废弃物等倾倒、排放、存放到农田。</w:t>
      </w:r>
    </w:p>
    <w:p>
      <w:pPr>
        <w:bidi w:val="0"/>
        <w:rPr>
          <w:color w:val="auto"/>
        </w:rPr>
      </w:pPr>
      <w:r>
        <w:rPr>
          <w:rFonts w:hint="eastAsia" w:ascii="楷体" w:hAnsi="楷体" w:eastAsia="楷体" w:cs="楷体"/>
          <w:color w:val="auto"/>
          <w:sz w:val="32"/>
          <w:szCs w:val="32"/>
          <w:lang w:val="en-US" w:eastAsia="zh-CN"/>
        </w:rPr>
        <w:t>（三）坚持良田粮用。</w:t>
      </w:r>
      <w:r>
        <w:rPr>
          <w:rFonts w:hint="eastAsia" w:ascii="仿宋" w:hAnsi="仿宋" w:eastAsia="仿宋" w:cs="仿宋"/>
          <w:color w:val="auto"/>
          <w:sz w:val="32"/>
          <w:szCs w:val="32"/>
        </w:rPr>
        <w:t>健全产粮大县奖补政策和农民种粮激励政策，压实产粮大县粮食生产责任，保障农民种粮合理收益，调动地方政府重农抓粮积极性和农民种粮积极性。引导高标准农田集中用于重要农产品特别是稻谷、小麦、玉米三大谷物生产。引导作物一年两熟以上的粮食生产功能区至少生产一季粮食，种植非粮作物的要在一季后能够恢复粮食生产。</w:t>
      </w:r>
    </w:p>
    <w:p>
      <w:pPr>
        <w:pStyle w:val="3"/>
        <w:bidi w:val="0"/>
        <w:jc w:val="both"/>
        <w:rPr>
          <w:rFonts w:hint="eastAsia"/>
          <w:b w:val="0"/>
          <w:bCs w:val="0"/>
          <w:color w:val="auto"/>
          <w:lang w:val="en-US" w:eastAsia="zh-CN"/>
        </w:rPr>
      </w:pPr>
      <w:bookmarkStart w:id="118" w:name="_Toc20801_WPSOffice_Level1"/>
    </w:p>
    <w:p>
      <w:pPr>
        <w:pStyle w:val="3"/>
        <w:bidi w:val="0"/>
        <w:jc w:val="both"/>
        <w:rPr>
          <w:rFonts w:hint="eastAsia"/>
          <w:b w:val="0"/>
          <w:bCs w:val="0"/>
          <w:color w:val="auto"/>
          <w:lang w:val="en-US" w:eastAsia="zh-CN"/>
        </w:rPr>
      </w:pPr>
    </w:p>
    <w:p>
      <w:pPr>
        <w:pStyle w:val="3"/>
        <w:bidi w:val="0"/>
        <w:jc w:val="both"/>
        <w:rPr>
          <w:rFonts w:hint="eastAsia"/>
          <w:b w:val="0"/>
          <w:bCs w:val="0"/>
          <w:color w:val="auto"/>
          <w:lang w:val="en-US" w:eastAsia="zh-CN"/>
        </w:rPr>
      </w:pPr>
    </w:p>
    <w:p>
      <w:pPr>
        <w:rPr>
          <w:rFonts w:hint="eastAsia"/>
          <w:color w:val="auto"/>
          <w:lang w:val="en-US" w:eastAsia="zh-CN"/>
        </w:rPr>
      </w:pPr>
    </w:p>
    <w:p>
      <w:pPr>
        <w:pStyle w:val="3"/>
        <w:bidi w:val="0"/>
        <w:jc w:val="center"/>
        <w:rPr>
          <w:b w:val="0"/>
          <w:bCs w:val="0"/>
          <w:color w:val="auto"/>
        </w:rPr>
      </w:pPr>
      <w:bookmarkStart w:id="119" w:name="_Toc25416_WPSOffice_Level1"/>
      <w:r>
        <w:rPr>
          <w:rFonts w:hint="eastAsia"/>
          <w:b w:val="0"/>
          <w:bCs w:val="0"/>
          <w:color w:val="auto"/>
          <w:lang w:val="en-US" w:eastAsia="zh-CN"/>
        </w:rPr>
        <w:t xml:space="preserve">第六章 </w:t>
      </w:r>
      <w:r>
        <w:rPr>
          <w:b w:val="0"/>
          <w:bCs w:val="0"/>
          <w:color w:val="auto"/>
        </w:rPr>
        <w:t>效益分析</w:t>
      </w:r>
      <w:bookmarkEnd w:id="117"/>
      <w:bookmarkEnd w:id="118"/>
      <w:bookmarkEnd w:id="119"/>
    </w:p>
    <w:p>
      <w:pPr>
        <w:pStyle w:val="4"/>
        <w:pageBreakBefore w:val="0"/>
        <w:widowControl w:val="0"/>
        <w:kinsoku/>
        <w:wordWrap/>
        <w:overflowPunct/>
        <w:topLinePunct w:val="0"/>
        <w:autoSpaceDE/>
        <w:autoSpaceDN/>
        <w:bidi w:val="0"/>
        <w:adjustRightInd/>
        <w:snapToGrid/>
        <w:spacing w:line="620" w:lineRule="exact"/>
        <w:textAlignment w:val="auto"/>
        <w:rPr>
          <w:b w:val="0"/>
          <w:bCs w:val="0"/>
          <w:color w:val="auto"/>
          <w:sz w:val="32"/>
          <w:szCs w:val="32"/>
        </w:rPr>
      </w:pPr>
      <w:bookmarkStart w:id="120" w:name="_Toc19732_WPSOffice_Level2"/>
      <w:bookmarkStart w:id="121" w:name="_Toc19503_WPSOffice_Level2"/>
      <w:bookmarkStart w:id="122" w:name="_Toc101193339"/>
      <w:r>
        <w:rPr>
          <w:b w:val="0"/>
          <w:bCs w:val="0"/>
          <w:color w:val="auto"/>
          <w:sz w:val="32"/>
          <w:szCs w:val="32"/>
        </w:rPr>
        <w:t>一、经济效益</w:t>
      </w:r>
      <w:bookmarkEnd w:id="120"/>
      <w:bookmarkEnd w:id="121"/>
      <w:bookmarkEnd w:id="122"/>
    </w:p>
    <w:p>
      <w:pPr>
        <w:pageBreakBefore w:val="0"/>
        <w:widowControl w:val="0"/>
        <w:kinsoku/>
        <w:wordWrap/>
        <w:overflowPunct/>
        <w:topLinePunct w:val="0"/>
        <w:autoSpaceDE/>
        <w:autoSpaceDN/>
        <w:bidi w:val="0"/>
        <w:adjustRightInd/>
        <w:snapToGrid/>
        <w:spacing w:line="620" w:lineRule="exact"/>
        <w:textAlignment w:val="auto"/>
        <w:rPr>
          <w:color w:val="auto"/>
          <w:sz w:val="32"/>
          <w:szCs w:val="32"/>
        </w:rPr>
      </w:pPr>
      <w:bookmarkStart w:id="123" w:name="_Toc101193340"/>
      <w:r>
        <w:rPr>
          <w:rFonts w:hint="eastAsia"/>
          <w:color w:val="auto"/>
          <w:sz w:val="32"/>
          <w:szCs w:val="32"/>
          <w:lang w:val="en-US" w:eastAsia="zh-CN"/>
        </w:rPr>
        <w:t>规划</w:t>
      </w:r>
      <w:r>
        <w:rPr>
          <w:color w:val="auto"/>
          <w:sz w:val="32"/>
          <w:szCs w:val="32"/>
        </w:rPr>
        <w:t>高标准农田</w:t>
      </w:r>
      <w:r>
        <w:rPr>
          <w:rFonts w:hint="eastAsia"/>
          <w:color w:val="auto"/>
          <w:sz w:val="32"/>
          <w:szCs w:val="32"/>
          <w:lang w:val="en-US" w:eastAsia="zh-CN"/>
        </w:rPr>
        <w:t>建设</w:t>
      </w:r>
      <w:r>
        <w:rPr>
          <w:color w:val="auto"/>
          <w:sz w:val="32"/>
          <w:szCs w:val="32"/>
        </w:rPr>
        <w:t>项目建成后，新增建设高标准农田亩均预计可提高粮食综合产能100公斤左右，改造提升高标准农田亩均预计可提高粮食综合产能80公斤左右。节水、节电、节肥、节药等效果显著，亩均节水20～30%以上，节电30%以上，节肥10%以上，节药15%以上，土地集约化利用，适度规模经营比重提高，亩均每年增收节支约500元。通过节本增效，促进农民增收效果明显。</w:t>
      </w:r>
      <w:bookmarkEnd w:id="123"/>
    </w:p>
    <w:p>
      <w:pPr>
        <w:pStyle w:val="4"/>
        <w:pageBreakBefore w:val="0"/>
        <w:widowControl w:val="0"/>
        <w:kinsoku/>
        <w:wordWrap/>
        <w:overflowPunct/>
        <w:topLinePunct w:val="0"/>
        <w:autoSpaceDE/>
        <w:autoSpaceDN/>
        <w:bidi w:val="0"/>
        <w:adjustRightInd/>
        <w:snapToGrid/>
        <w:spacing w:line="620" w:lineRule="exact"/>
        <w:textAlignment w:val="auto"/>
        <w:rPr>
          <w:b w:val="0"/>
          <w:bCs w:val="0"/>
          <w:color w:val="auto"/>
          <w:sz w:val="32"/>
          <w:szCs w:val="32"/>
        </w:rPr>
      </w:pPr>
      <w:bookmarkStart w:id="124" w:name="_Toc16736_WPSOffice_Level2"/>
      <w:bookmarkStart w:id="125" w:name="_Toc7199_WPSOffice_Level2"/>
      <w:bookmarkStart w:id="126" w:name="_Toc101193341"/>
      <w:r>
        <w:rPr>
          <w:b w:val="0"/>
          <w:bCs w:val="0"/>
          <w:color w:val="auto"/>
          <w:sz w:val="32"/>
          <w:szCs w:val="32"/>
        </w:rPr>
        <w:t>二、社会效益</w:t>
      </w:r>
      <w:bookmarkEnd w:id="124"/>
      <w:bookmarkEnd w:id="125"/>
      <w:bookmarkEnd w:id="126"/>
    </w:p>
    <w:p>
      <w:pPr>
        <w:pageBreakBefore w:val="0"/>
        <w:widowControl w:val="0"/>
        <w:kinsoku/>
        <w:wordWrap/>
        <w:overflowPunct/>
        <w:topLinePunct w:val="0"/>
        <w:autoSpaceDE/>
        <w:autoSpaceDN/>
        <w:bidi w:val="0"/>
        <w:adjustRightInd/>
        <w:snapToGrid/>
        <w:spacing w:line="620" w:lineRule="exact"/>
        <w:textAlignment w:val="auto"/>
        <w:rPr>
          <w:rFonts w:hint="eastAsia"/>
          <w:color w:val="auto"/>
          <w:sz w:val="32"/>
          <w:szCs w:val="32"/>
        </w:rPr>
      </w:pPr>
      <w:bookmarkStart w:id="127" w:name="_Toc101193342"/>
      <w:r>
        <w:rPr>
          <w:rFonts w:hint="eastAsia" w:ascii="楷体" w:hAnsi="楷体" w:eastAsia="楷体" w:cs="楷体"/>
          <w:color w:val="auto"/>
          <w:sz w:val="32"/>
          <w:szCs w:val="32"/>
          <w:lang w:val="en-US" w:eastAsia="zh-CN"/>
        </w:rPr>
        <w:t>（一）</w:t>
      </w:r>
      <w:bookmarkEnd w:id="127"/>
      <w:bookmarkStart w:id="128" w:name="_Toc101193343"/>
      <w:r>
        <w:rPr>
          <w:rFonts w:hint="eastAsia" w:ascii="楷体" w:hAnsi="楷体" w:eastAsia="楷体" w:cs="楷体"/>
          <w:color w:val="auto"/>
          <w:sz w:val="32"/>
          <w:szCs w:val="32"/>
          <w:lang w:val="en-US" w:eastAsia="zh-CN"/>
        </w:rPr>
        <w:t>增强我市粮食安全保障能力。</w:t>
      </w:r>
      <w:r>
        <w:rPr>
          <w:rFonts w:hint="eastAsia"/>
          <w:color w:val="auto"/>
          <w:sz w:val="32"/>
          <w:szCs w:val="32"/>
        </w:rPr>
        <w:t>高标准农田建成后，能够加快补齐农田基础设施短板，提高水土资源利用效率，增强粮食生产能力和防灾抗灾减灾能力，成为旱涝保收、稳产高产的粮田。</w:t>
      </w:r>
    </w:p>
    <w:p>
      <w:pPr>
        <w:pageBreakBefore w:val="0"/>
        <w:widowControl w:val="0"/>
        <w:kinsoku/>
        <w:wordWrap/>
        <w:overflowPunct/>
        <w:topLinePunct w:val="0"/>
        <w:autoSpaceDE/>
        <w:autoSpaceDN/>
        <w:bidi w:val="0"/>
        <w:adjustRightInd/>
        <w:snapToGrid/>
        <w:spacing w:line="620" w:lineRule="exact"/>
        <w:textAlignment w:val="auto"/>
        <w:rPr>
          <w:rFonts w:hint="eastAsia"/>
          <w:color w:val="auto"/>
          <w:sz w:val="32"/>
          <w:szCs w:val="32"/>
        </w:rPr>
      </w:pPr>
      <w:r>
        <w:rPr>
          <w:rFonts w:hint="eastAsia" w:ascii="楷体" w:hAnsi="楷体" w:eastAsia="楷体" w:cs="楷体"/>
          <w:color w:val="auto"/>
          <w:sz w:val="32"/>
          <w:szCs w:val="32"/>
          <w:lang w:val="en-US" w:eastAsia="zh-CN"/>
        </w:rPr>
        <w:t>（二）推动农业高质量发展。</w:t>
      </w:r>
      <w:r>
        <w:rPr>
          <w:rFonts w:hint="eastAsia"/>
          <w:color w:val="auto"/>
          <w:sz w:val="32"/>
          <w:szCs w:val="32"/>
        </w:rPr>
        <w:t>高标准农田建成后，为有效促进农业规模化、专业化、标准化生产经营提供坚实基础，同步加快推广应用新品种、新技术、新装备</w:t>
      </w:r>
      <w:r>
        <w:rPr>
          <w:rFonts w:hint="eastAsia"/>
          <w:color w:val="auto"/>
          <w:sz w:val="32"/>
          <w:szCs w:val="32"/>
          <w:lang w:eastAsia="zh-CN"/>
        </w:rPr>
        <w:t>、新模式的“四新”示范推广应用</w:t>
      </w:r>
      <w:r>
        <w:rPr>
          <w:rFonts w:hint="eastAsia"/>
          <w:color w:val="auto"/>
          <w:sz w:val="32"/>
          <w:szCs w:val="32"/>
        </w:rPr>
        <w:t>，推动农业经营方式、生产方式、资源利用方式的转型升级，加快质量兴农、绿色兴农、品牌强农。助力全面推进乡村振兴。</w:t>
      </w:r>
      <w:bookmarkEnd w:id="128"/>
    </w:p>
    <w:p>
      <w:pPr>
        <w:pageBreakBefore w:val="0"/>
        <w:widowControl w:val="0"/>
        <w:kinsoku/>
        <w:wordWrap/>
        <w:overflowPunct/>
        <w:topLinePunct w:val="0"/>
        <w:autoSpaceDE/>
        <w:autoSpaceDN/>
        <w:bidi w:val="0"/>
        <w:adjustRightInd/>
        <w:snapToGrid/>
        <w:spacing w:line="620" w:lineRule="exact"/>
        <w:textAlignment w:val="auto"/>
        <w:rPr>
          <w:rFonts w:hint="eastAsia"/>
          <w:color w:val="auto"/>
          <w:sz w:val="32"/>
          <w:szCs w:val="32"/>
        </w:rPr>
      </w:pPr>
      <w:r>
        <w:rPr>
          <w:rFonts w:hint="eastAsia" w:ascii="楷体" w:hAnsi="楷体" w:eastAsia="楷体" w:cs="楷体"/>
          <w:color w:val="auto"/>
          <w:sz w:val="32"/>
          <w:szCs w:val="32"/>
          <w:lang w:val="en-US" w:eastAsia="zh-CN"/>
        </w:rPr>
        <w:t>（三）保护种粮农民积极性。</w:t>
      </w:r>
      <w:r>
        <w:rPr>
          <w:rFonts w:hint="eastAsia"/>
          <w:color w:val="auto"/>
          <w:sz w:val="32"/>
          <w:szCs w:val="32"/>
        </w:rPr>
        <w:t>高标准农田建成后，能够完善农田基础设施，提升耕地质量，改善农业生产条件，提高机械化水平，减轻劳动强度，</w:t>
      </w:r>
      <w:r>
        <w:rPr>
          <w:rFonts w:hint="eastAsia"/>
          <w:color w:val="auto"/>
          <w:sz w:val="32"/>
          <w:szCs w:val="32"/>
          <w:lang w:eastAsia="zh-CN"/>
        </w:rPr>
        <w:t>减少生产成本，</w:t>
      </w:r>
      <w:r>
        <w:rPr>
          <w:rFonts w:hint="eastAsia"/>
          <w:color w:val="auto"/>
          <w:sz w:val="32"/>
          <w:szCs w:val="32"/>
        </w:rPr>
        <w:t>提高农业竟争力，调动农民种粮的积极性。</w:t>
      </w:r>
    </w:p>
    <w:p>
      <w:pPr>
        <w:pStyle w:val="4"/>
        <w:pageBreakBefore w:val="0"/>
        <w:widowControl w:val="0"/>
        <w:kinsoku/>
        <w:wordWrap/>
        <w:overflowPunct/>
        <w:topLinePunct w:val="0"/>
        <w:autoSpaceDE/>
        <w:autoSpaceDN/>
        <w:bidi w:val="0"/>
        <w:adjustRightInd/>
        <w:snapToGrid/>
        <w:spacing w:line="620" w:lineRule="exact"/>
        <w:textAlignment w:val="auto"/>
        <w:rPr>
          <w:b w:val="0"/>
          <w:bCs w:val="0"/>
          <w:color w:val="auto"/>
          <w:sz w:val="32"/>
          <w:szCs w:val="32"/>
        </w:rPr>
      </w:pPr>
      <w:bookmarkStart w:id="129" w:name="_Toc24376_WPSOffice_Level2"/>
      <w:bookmarkStart w:id="130" w:name="_Toc981_WPSOffice_Level2"/>
      <w:bookmarkStart w:id="131" w:name="_Toc101193345"/>
      <w:r>
        <w:rPr>
          <w:b w:val="0"/>
          <w:bCs w:val="0"/>
          <w:color w:val="auto"/>
          <w:sz w:val="32"/>
          <w:szCs w:val="32"/>
        </w:rPr>
        <w:t>三、生态效益</w:t>
      </w:r>
      <w:bookmarkEnd w:id="129"/>
      <w:bookmarkEnd w:id="130"/>
      <w:bookmarkEnd w:id="131"/>
    </w:p>
    <w:p>
      <w:pPr>
        <w:pageBreakBefore w:val="0"/>
        <w:widowControl w:val="0"/>
        <w:kinsoku/>
        <w:wordWrap/>
        <w:overflowPunct/>
        <w:topLinePunct w:val="0"/>
        <w:autoSpaceDE/>
        <w:autoSpaceDN/>
        <w:bidi w:val="0"/>
        <w:adjustRightInd/>
        <w:snapToGrid/>
        <w:spacing w:line="620" w:lineRule="exact"/>
        <w:textAlignment w:val="auto"/>
        <w:rPr>
          <w:rFonts w:hint="eastAsia"/>
          <w:color w:val="auto"/>
          <w:sz w:val="32"/>
          <w:szCs w:val="32"/>
          <w:lang w:val="en-US" w:eastAsia="zh-CN"/>
        </w:rPr>
      </w:pPr>
      <w:r>
        <w:rPr>
          <w:rFonts w:hint="eastAsia" w:ascii="楷体" w:hAnsi="楷体" w:eastAsia="楷体" w:cs="楷体"/>
          <w:color w:val="auto"/>
          <w:sz w:val="32"/>
          <w:szCs w:val="32"/>
          <w:lang w:val="en-US" w:eastAsia="zh-CN"/>
        </w:rPr>
        <w:t>（一）提高水土资源利用效率。</w:t>
      </w:r>
      <w:r>
        <w:rPr>
          <w:rFonts w:hint="eastAsia"/>
          <w:color w:val="auto"/>
          <w:sz w:val="32"/>
          <w:szCs w:val="32"/>
        </w:rPr>
        <w:t>通过高标准农田和高效节水灌溉工程建设，完善灌排设施，解决水资源时空分布不均的问题；落实衬砌渠道、配套田间灌排设施、推广管灌、喷灌、微灌等措施，提高水资源利用率和灌溉效率；采取修建农田排水（渍）沟渠等措施，解决农田排涝排渍问题。高标准农田建设对改善区域内水资源供需平衡状况，提高水资源利用效率将起到积极作用，有效提高耕地集约节约利用水平，缓解农业发展的水土资源约束，促进农业可持续发展。</w:t>
      </w:r>
    </w:p>
    <w:p>
      <w:pPr>
        <w:pageBreakBefore w:val="0"/>
        <w:widowControl w:val="0"/>
        <w:kinsoku/>
        <w:wordWrap/>
        <w:overflowPunct/>
        <w:topLinePunct w:val="0"/>
        <w:autoSpaceDE/>
        <w:autoSpaceDN/>
        <w:bidi w:val="0"/>
        <w:adjustRightInd/>
        <w:snapToGrid/>
        <w:spacing w:line="620" w:lineRule="exact"/>
        <w:textAlignment w:val="auto"/>
        <w:rPr>
          <w:rFonts w:hint="eastAsia"/>
          <w:color w:val="auto"/>
          <w:sz w:val="32"/>
          <w:szCs w:val="32"/>
        </w:rPr>
      </w:pPr>
      <w:r>
        <w:rPr>
          <w:rFonts w:hint="eastAsia" w:ascii="楷体" w:hAnsi="楷体" w:eastAsia="楷体" w:cs="楷体"/>
          <w:color w:val="auto"/>
          <w:sz w:val="32"/>
          <w:szCs w:val="32"/>
          <w:lang w:val="en-US" w:eastAsia="zh-CN"/>
        </w:rPr>
        <w:t>（二）改善农业生态环境。</w:t>
      </w:r>
      <w:r>
        <w:rPr>
          <w:rFonts w:hint="eastAsia"/>
          <w:color w:val="auto"/>
          <w:sz w:val="32"/>
          <w:szCs w:val="32"/>
          <w:lang w:val="en-US" w:eastAsia="zh-CN"/>
        </w:rPr>
        <w:t>高</w:t>
      </w:r>
      <w:r>
        <w:rPr>
          <w:rFonts w:hint="eastAsia"/>
          <w:color w:val="auto"/>
          <w:sz w:val="32"/>
          <w:szCs w:val="32"/>
        </w:rPr>
        <w:t>标准农田建成后,有效提高农药化肥利用效率,减轻农业面源污染,防治土壤酸化、土壤潜育化、次生盐碱化、水土流失,保持耕地土壤健康,促进农业绿色发展。</w:t>
      </w:r>
    </w:p>
    <w:p>
      <w:pPr>
        <w:pageBreakBefore w:val="0"/>
        <w:widowControl w:val="0"/>
        <w:kinsoku/>
        <w:wordWrap/>
        <w:overflowPunct/>
        <w:topLinePunct w:val="0"/>
        <w:autoSpaceDE/>
        <w:autoSpaceDN/>
        <w:bidi w:val="0"/>
        <w:adjustRightInd/>
        <w:snapToGrid/>
        <w:spacing w:line="620" w:lineRule="exact"/>
        <w:textAlignment w:val="auto"/>
        <w:rPr>
          <w:rFonts w:hint="eastAsia"/>
          <w:color w:val="auto"/>
          <w:lang w:val="en-US" w:eastAsia="zh-CN"/>
        </w:rPr>
      </w:pPr>
      <w:bookmarkStart w:id="132" w:name="_Toc101193348"/>
      <w:r>
        <w:rPr>
          <w:rFonts w:hint="eastAsia" w:ascii="楷体" w:hAnsi="楷体" w:eastAsia="楷体" w:cs="楷体"/>
          <w:color w:val="auto"/>
          <w:sz w:val="32"/>
          <w:szCs w:val="32"/>
          <w:lang w:val="en-US" w:eastAsia="zh-CN"/>
        </w:rPr>
        <w:t>（三）提升农田生态服务功能。</w:t>
      </w:r>
      <w:r>
        <w:rPr>
          <w:rFonts w:hint="eastAsia"/>
          <w:color w:val="auto"/>
          <w:sz w:val="32"/>
          <w:szCs w:val="32"/>
          <w:lang w:val="en-US" w:eastAsia="zh-CN"/>
        </w:rPr>
        <w:t>高标准农田建成后，通过土地平整、保护性耕作、农田防护林网与生态环境保护与建设，促进无公害、绿色农产品的生产，增强生态系统服务功能。</w:t>
      </w:r>
      <w:bookmarkEnd w:id="132"/>
    </w:p>
    <w:p>
      <w:pPr>
        <w:pStyle w:val="3"/>
        <w:bidi w:val="0"/>
        <w:jc w:val="center"/>
        <w:rPr>
          <w:rFonts w:hint="eastAsia"/>
          <w:b w:val="0"/>
          <w:bCs w:val="0"/>
          <w:color w:val="auto"/>
          <w:lang w:val="en-US" w:eastAsia="zh-CN"/>
        </w:rPr>
      </w:pPr>
      <w:bookmarkStart w:id="133" w:name="_Toc16621_WPSOffice_Level1"/>
      <w:bookmarkStart w:id="134" w:name="_Toc283_WPSOffice_Level1"/>
      <w:bookmarkStart w:id="135" w:name="_Toc101193349"/>
      <w:r>
        <w:rPr>
          <w:rFonts w:hint="eastAsia"/>
          <w:b w:val="0"/>
          <w:bCs w:val="0"/>
          <w:color w:val="auto"/>
          <w:lang w:val="en-US" w:eastAsia="zh-CN"/>
        </w:rPr>
        <w:t xml:space="preserve">第七章 </w:t>
      </w:r>
      <w:r>
        <w:rPr>
          <w:b w:val="0"/>
          <w:bCs w:val="0"/>
          <w:color w:val="auto"/>
        </w:rPr>
        <w:t>保障措施</w:t>
      </w:r>
      <w:bookmarkEnd w:id="133"/>
      <w:bookmarkEnd w:id="134"/>
      <w:bookmarkEnd w:id="135"/>
    </w:p>
    <w:p>
      <w:pPr>
        <w:pStyle w:val="4"/>
        <w:bidi w:val="0"/>
        <w:rPr>
          <w:rFonts w:hint="eastAsia"/>
          <w:b w:val="0"/>
          <w:bCs w:val="0"/>
          <w:color w:val="auto"/>
          <w:sz w:val="32"/>
          <w:szCs w:val="32"/>
          <w:lang w:val="en-US" w:eastAsia="zh-CN"/>
        </w:rPr>
      </w:pPr>
      <w:bookmarkStart w:id="136" w:name="_Toc16621_WPSOffice_Level2"/>
      <w:bookmarkStart w:id="137" w:name="_Toc101193350"/>
      <w:bookmarkStart w:id="138" w:name="_Toc5578_WPSOffice_Level2"/>
      <w:r>
        <w:rPr>
          <w:b w:val="0"/>
          <w:bCs w:val="0"/>
          <w:color w:val="auto"/>
          <w:sz w:val="32"/>
          <w:szCs w:val="32"/>
        </w:rPr>
        <w:t>一、加强组织领导</w:t>
      </w:r>
      <w:bookmarkEnd w:id="136"/>
      <w:bookmarkEnd w:id="137"/>
      <w:bookmarkEnd w:id="138"/>
    </w:p>
    <w:p>
      <w:pPr>
        <w:numPr>
          <w:ilvl w:val="0"/>
          <w:numId w:val="0"/>
        </w:numPr>
        <w:bidi w:val="0"/>
        <w:ind w:firstLine="640" w:firstLineChars="200"/>
        <w:rPr>
          <w:color w:val="auto"/>
        </w:rPr>
      </w:pPr>
      <w:r>
        <w:rPr>
          <w:rFonts w:hint="eastAsia" w:ascii="楷体" w:hAnsi="楷体" w:eastAsia="楷体" w:cs="楷体"/>
          <w:color w:val="auto"/>
          <w:sz w:val="32"/>
          <w:szCs w:val="32"/>
          <w:lang w:val="en-US" w:eastAsia="zh-CN"/>
        </w:rPr>
        <w:t>（一）完善体制机制。</w:t>
      </w:r>
      <w:r>
        <w:rPr>
          <w:rFonts w:hint="eastAsia"/>
          <w:color w:val="auto"/>
          <w:sz w:val="32"/>
          <w:szCs w:val="32"/>
          <w:lang w:val="en-US" w:eastAsia="zh-CN"/>
        </w:rPr>
        <w:t>落实高标准农田建设统一规划布局、统一建设标准、统一组织实施、统一验收考核、统一上图入库要求和中央统筹、省负总责、市县乡抓落实、群众参与的工作机制，强化粮食安全党政同责，抓好规划实施、任务落实、资金保障、监督评价和运营管护等工作。市、县（市、区）农业农村部门要在本级人民政府的领导下，逐级落实好建设任务和工作责任，相关部门要按照职责分工主动协作配合，确保各项工作任务按期完成。加强建设资金全过程绩效管理，科学设定绩效目标，做好绩效运行监控和评价，强化结果应用，提高资金使用效益。</w:t>
      </w:r>
    </w:p>
    <w:p>
      <w:pPr>
        <w:numPr>
          <w:ilvl w:val="0"/>
          <w:numId w:val="0"/>
        </w:numPr>
        <w:bidi w:val="0"/>
        <w:ind w:firstLine="640" w:firstLineChars="200"/>
        <w:rPr>
          <w:rFonts w:hint="eastAsia"/>
          <w:color w:val="auto"/>
          <w:sz w:val="32"/>
          <w:szCs w:val="32"/>
          <w:lang w:val="en-US" w:eastAsia="zh-CN"/>
        </w:rPr>
      </w:pPr>
      <w:r>
        <w:rPr>
          <w:rFonts w:hint="eastAsia" w:ascii="楷体" w:hAnsi="楷体" w:eastAsia="楷体" w:cs="楷体"/>
          <w:color w:val="auto"/>
          <w:sz w:val="32"/>
          <w:szCs w:val="32"/>
          <w:lang w:val="en-US" w:eastAsia="zh-CN"/>
        </w:rPr>
        <w:t>（二）规范行业管理。</w:t>
      </w:r>
      <w:r>
        <w:rPr>
          <w:rFonts w:hint="eastAsia"/>
          <w:color w:val="auto"/>
          <w:sz w:val="32"/>
          <w:szCs w:val="32"/>
          <w:lang w:val="en-US" w:eastAsia="zh-CN"/>
        </w:rPr>
        <w:t>严把高标准农田建设从业机构资质审查关,提高勘察、设计、施工和监理等相关单位技术力量门槛，杜绝无资质或资质不符合要求的从业机构承接相关业务。相关行业主管部门要履行行业监管职责，切实发挥行业优势，定期开展农田项目工作检查。相关行政职能部门要结合自身职责，围绕项目概算、资金使用、审计监督等，强化行政督查。大力推行信用承诺制度，依法依规建立健全高标准农田建设从业机构失信惩戒机制，加强行业自律和动态监管。</w:t>
      </w:r>
    </w:p>
    <w:p>
      <w:pPr>
        <w:bidi w:val="0"/>
        <w:rPr>
          <w:rFonts w:hint="default"/>
          <w:color w:val="auto"/>
          <w:sz w:val="32"/>
          <w:szCs w:val="32"/>
          <w:lang w:val="en-US" w:eastAsia="zh-CN"/>
        </w:rPr>
      </w:pPr>
      <w:r>
        <w:rPr>
          <w:rFonts w:hint="eastAsia" w:ascii="楷体" w:hAnsi="楷体" w:eastAsia="楷体" w:cs="楷体"/>
          <w:color w:val="auto"/>
          <w:sz w:val="32"/>
          <w:szCs w:val="32"/>
          <w:lang w:val="en-US" w:eastAsia="zh-CN"/>
        </w:rPr>
        <w:t>（三）强化队伍建设。</w:t>
      </w:r>
      <w:bookmarkStart w:id="139" w:name="_Toc101193351"/>
      <w:r>
        <w:rPr>
          <w:rFonts w:hint="eastAsia"/>
          <w:color w:val="auto"/>
          <w:sz w:val="32"/>
          <w:szCs w:val="32"/>
          <w:lang w:val="en-US" w:eastAsia="zh-CN"/>
        </w:rPr>
        <w:t>加强高标准农田建设管理和技术服务体系队伍建设，强化人员配备，市、县、乡三级要加快培养一批懂农业、会管理的干部队伍，重点配齐配强县乡两级工作力量，加快形成分工明确、层次清晰、结构合理、上下衔接的专业化人才队伍，确保与新发展阶段农田建设任务相适应。加大政策业务、专业技术培训力度，加强业务交流，提升农田建设管理人员和技术人员的业务能力和综合素质。</w:t>
      </w:r>
    </w:p>
    <w:p>
      <w:pPr>
        <w:pStyle w:val="4"/>
        <w:bidi w:val="0"/>
        <w:rPr>
          <w:rFonts w:hint="eastAsia"/>
          <w:b w:val="0"/>
          <w:bCs w:val="0"/>
          <w:color w:val="auto"/>
          <w:sz w:val="32"/>
          <w:szCs w:val="32"/>
          <w:lang w:val="en-US" w:eastAsia="zh-CN"/>
        </w:rPr>
      </w:pPr>
      <w:bookmarkStart w:id="140" w:name="_Toc21916_WPSOffice_Level2"/>
      <w:bookmarkStart w:id="141" w:name="_Toc15686_WPSOffice_Level2"/>
      <w:r>
        <w:rPr>
          <w:b w:val="0"/>
          <w:bCs w:val="0"/>
          <w:color w:val="auto"/>
          <w:sz w:val="32"/>
          <w:szCs w:val="32"/>
        </w:rPr>
        <w:t>二、推进规划落实</w:t>
      </w:r>
      <w:bookmarkEnd w:id="139"/>
      <w:bookmarkEnd w:id="140"/>
      <w:bookmarkEnd w:id="141"/>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（一）完善建设规划。</w:t>
      </w:r>
      <w:r>
        <w:rPr>
          <w:rFonts w:hint="eastAsia"/>
          <w:color w:val="auto"/>
          <w:sz w:val="32"/>
          <w:szCs w:val="32"/>
          <w:lang w:val="en-US" w:eastAsia="zh-CN"/>
        </w:rPr>
        <w:t>各县（区）在全面摸清高标准农田建设数量、质量情况的基础上，根据本规划确定的总体目标和分县（区）任务要求，编制县级高标准农田建设规划，将建设任务分解落实到各乡镇。县级建设规划要将各项建设任务落实到地块，明确时序安排。</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（二）做好规划衔接。</w:t>
      </w:r>
      <w:r>
        <w:rPr>
          <w:rFonts w:hint="eastAsia"/>
          <w:color w:val="auto"/>
          <w:sz w:val="32"/>
          <w:szCs w:val="32"/>
          <w:lang w:val="en-US" w:eastAsia="zh-CN"/>
        </w:rPr>
        <w:t>各县（区）政府在编制本级高标准农田建设规划时，在建设目标、任务、布局以及重大项目安排上，要充分做好与当地乡村振兴、国土空间、生态环境、农业、水利、电力、交通道路等经批准的有关规划衔接，避免出现规划冲突和投资浪费。综合考虑资源环境承载力、粮食保障要求、城镇化进程等因素，科学开展水资源论证，确定高标准农田建设区域，明确建设的重点区域、限制区域和禁止区域。</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（三）开展规划评估。</w:t>
      </w:r>
      <w:r>
        <w:rPr>
          <w:rFonts w:hint="eastAsia"/>
          <w:color w:val="auto"/>
          <w:sz w:val="32"/>
          <w:szCs w:val="32"/>
          <w:lang w:val="en-US" w:eastAsia="zh-CN"/>
        </w:rPr>
        <w:t>根据国家统一部署，在规划实施中期，采取各级农业农村部门自查自评与第三方独立评价相结合的方式，重点对规划目标、建设任务、重点工程的执行等情况进行评估分析，客观评价规划实施进展，总结提炼经验做法，剖析实施过程中存在的困难、问题及原因，及时做出调整、完善政策，进一步发挥好规划的引领作用。</w:t>
      </w:r>
    </w:p>
    <w:p>
      <w:pPr>
        <w:pStyle w:val="4"/>
        <w:bidi w:val="0"/>
        <w:rPr>
          <w:rFonts w:hint="eastAsia"/>
          <w:b w:val="0"/>
          <w:bCs w:val="0"/>
          <w:color w:val="auto"/>
          <w:sz w:val="32"/>
          <w:szCs w:val="32"/>
          <w:lang w:val="en-US" w:eastAsia="zh-CN"/>
        </w:rPr>
      </w:pPr>
      <w:bookmarkStart w:id="142" w:name="_Toc101193352"/>
      <w:bookmarkStart w:id="143" w:name="_Toc28673_WPSOffice_Level2"/>
      <w:bookmarkStart w:id="144" w:name="_Toc13155_WPSOffice_Level2"/>
      <w:r>
        <w:rPr>
          <w:b w:val="0"/>
          <w:bCs w:val="0"/>
          <w:color w:val="auto"/>
          <w:sz w:val="32"/>
          <w:szCs w:val="32"/>
        </w:rPr>
        <w:t>三、强化资金投入</w:t>
      </w:r>
      <w:bookmarkEnd w:id="142"/>
      <w:bookmarkEnd w:id="143"/>
      <w:bookmarkEnd w:id="144"/>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（一）保障财政投入。</w:t>
      </w:r>
      <w:r>
        <w:rPr>
          <w:rFonts w:hint="eastAsia"/>
          <w:color w:val="auto"/>
          <w:sz w:val="32"/>
          <w:szCs w:val="32"/>
          <w:lang w:val="en-US" w:eastAsia="zh-CN"/>
        </w:rPr>
        <w:t>在积极争取中央和省级财政支持的基础上，将农田建设作为财政支出重点事项，列入本级政府预算，按规定落实地方资金，压实地方投入责任，鼓励有条件的县（区）在国家和省确定的投资标准基础上，进一步加大地方财政投入，提高项目投资标准。县（区）要将管护经费纳入县级预算，建立农田建设项目管护经费合理投入保障机制。</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（二）创新投融资模式。</w:t>
      </w:r>
      <w:r>
        <w:rPr>
          <w:rFonts w:hint="eastAsia"/>
          <w:color w:val="auto"/>
          <w:sz w:val="32"/>
          <w:szCs w:val="32"/>
          <w:lang w:val="en-US" w:eastAsia="zh-CN"/>
        </w:rPr>
        <w:t>发挥政府投入引导和撬动作用，采取投资补助、以奖代补、财政贴息等多种方式，有序引导金融、社会资本和新型农业经营主体投入高标准农田建设。鼓励县（区）政府按照规定程序在政府债务限额内发行债券支持符合条件的高标准农田建设。地方政府专项债券用于农业农村的投入，要重点支持符合专项债券发行使用条件的高标准农田建设。加强新增耕地指标调剂收益调节分配，拓展高标准农田建设资金投入渠道。高标准农田建设中产生的新增耕地指标可在省域内调剂使用，所得收益优先用于高标准农田建设。在不加重农民负担的前提下，积极鼓励农民和农村集体经济组织依法自主筹资投劳，参与高标准农田建设和运营管理。</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（三）推进资金整合统筹。</w:t>
      </w:r>
      <w:r>
        <w:rPr>
          <w:rFonts w:hint="eastAsia"/>
          <w:color w:val="auto"/>
          <w:sz w:val="32"/>
          <w:szCs w:val="32"/>
          <w:lang w:val="en-US" w:eastAsia="zh-CN"/>
        </w:rPr>
        <w:t>健全完善涉农资金统筹整合使用机制，推进集中连片建设，集中力量办大事。县级层面，制定整合资金使用方案，统筹使用和有序投入各类相关资金，将任务和资金落实到地块，确保完成建设任务。</w:t>
      </w:r>
    </w:p>
    <w:p>
      <w:pPr>
        <w:pStyle w:val="4"/>
        <w:bidi w:val="0"/>
        <w:rPr>
          <w:b w:val="0"/>
          <w:bCs w:val="0"/>
          <w:color w:val="auto"/>
          <w:sz w:val="32"/>
          <w:szCs w:val="32"/>
        </w:rPr>
      </w:pPr>
      <w:bookmarkStart w:id="145" w:name="_Toc101193353"/>
      <w:bookmarkStart w:id="146" w:name="_Toc2175_WPSOffice_Level2"/>
      <w:bookmarkStart w:id="147" w:name="_Toc8820_WPSOffice_Level2"/>
      <w:r>
        <w:rPr>
          <w:b w:val="0"/>
          <w:bCs w:val="0"/>
          <w:color w:val="auto"/>
          <w:sz w:val="32"/>
          <w:szCs w:val="32"/>
        </w:rPr>
        <w:t>四、加大科技支撑</w:t>
      </w:r>
      <w:bookmarkEnd w:id="145"/>
      <w:bookmarkEnd w:id="146"/>
      <w:bookmarkEnd w:id="147"/>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（一）加强技术研发。</w:t>
      </w:r>
      <w:r>
        <w:rPr>
          <w:rFonts w:hint="eastAsia"/>
          <w:color w:val="auto"/>
          <w:sz w:val="32"/>
          <w:szCs w:val="32"/>
          <w:lang w:val="en-US" w:eastAsia="zh-CN"/>
        </w:rPr>
        <w:t>要支持相关基础研究和技术研发工作，为规划实施提供技术支撑。推广新技术、新方法。围绕高标准农田建设的关键性技术问题，依托科研院所、大专院校、相关企业等力量，吸收引进和大力推广高标准农田建设先进实用技术，加强工程建设与农业技术的集成和应用，推动科研创新与成果转化，提升项目建设管理的技术水平。针对涉及高标准农田设计、勘察、建设、管理、保护全过程的关键问题，加强科技研发，加大对农田高效节水、绿色发展、防灾抗灾减灾技术、耕地质量提升、农田信息化监管等关键技术问题的攻关力度。明确阶段性目标，集成跨学科、跨领域优势力量，加快重点突破，推进科技创新成果转化，为高标准农田建设可持续发展提供技术支撑和引领。</w:t>
      </w:r>
    </w:p>
    <w:p>
      <w:pPr>
        <w:overflowPunct w:val="0"/>
        <w:autoSpaceDE w:val="0"/>
        <w:autoSpaceDN w:val="0"/>
        <w:adjustRightInd w:val="0"/>
        <w:snapToGrid w:val="0"/>
        <w:spacing w:line="640" w:lineRule="exact"/>
        <w:ind w:firstLine="640" w:firstLineChars="200"/>
        <w:rPr>
          <w:rFonts w:hint="eastAsia"/>
          <w:color w:val="auto"/>
          <w:sz w:val="32"/>
          <w:szCs w:val="32"/>
          <w:lang w:val="en-US" w:eastAsia="zh-CN"/>
        </w:rPr>
      </w:pPr>
      <w:r>
        <w:rPr>
          <w:rFonts w:hint="eastAsia" w:ascii="楷体" w:hAnsi="楷体" w:eastAsia="楷体" w:cs="楷体"/>
          <w:color w:val="auto"/>
          <w:sz w:val="32"/>
          <w:szCs w:val="32"/>
          <w:lang w:val="en-US" w:eastAsia="zh-CN"/>
        </w:rPr>
        <w:t>（二）强化机制创新。</w:t>
      </w:r>
      <w:r>
        <w:rPr>
          <w:rFonts w:hint="eastAsia"/>
          <w:color w:val="auto"/>
          <w:sz w:val="32"/>
          <w:szCs w:val="32"/>
          <w:lang w:val="en-US" w:eastAsia="zh-CN"/>
        </w:rPr>
        <w:t>建立产学研用深度融合技术创新机制，鼓励农田建设领域各类创新主体建立创新联盟，建立关键核心技术攻关机制。建设一批长期定位监测点、技术创新中心等平台，加大资源开放和数据共享力度，优化科研平台管理共享机制。</w:t>
      </w:r>
    </w:p>
    <w:p>
      <w:pPr>
        <w:overflowPunct w:val="0"/>
        <w:autoSpaceDE w:val="0"/>
        <w:autoSpaceDN w:val="0"/>
        <w:adjustRightInd w:val="0"/>
        <w:snapToGrid w:val="0"/>
        <w:spacing w:line="640" w:lineRule="exact"/>
        <w:ind w:firstLine="640" w:firstLineChars="200"/>
        <w:rPr>
          <w:rFonts w:hint="eastAsia"/>
          <w:color w:val="auto"/>
          <w:sz w:val="32"/>
          <w:szCs w:val="32"/>
          <w:lang w:val="en-US" w:eastAsia="zh-CN"/>
        </w:rPr>
      </w:pPr>
      <w:r>
        <w:rPr>
          <w:rFonts w:hint="eastAsia" w:ascii="楷体" w:hAnsi="楷体" w:eastAsia="楷体" w:cs="楷体"/>
          <w:color w:val="auto"/>
          <w:sz w:val="32"/>
          <w:szCs w:val="32"/>
          <w:lang w:val="en-US" w:eastAsia="zh-CN"/>
        </w:rPr>
        <w:t>（三）加大科技示范。</w:t>
      </w:r>
      <w:r>
        <w:rPr>
          <w:rFonts w:hint="eastAsia"/>
          <w:color w:val="auto"/>
          <w:sz w:val="32"/>
          <w:szCs w:val="32"/>
          <w:lang w:val="en-US" w:eastAsia="zh-CN"/>
        </w:rPr>
        <w:t>落实“两强一增”行动计划，大力引进和推广新品种、新技术、新模式、新装备，加强农田建设与农机农艺技术的集成与应用。开展生态绿色农田、数字农田和退化土壤治理及智慧型灌溉、工程性缺水等建设示范，引领相同类型区域高标准农田建设。实施区域化整体建设，在潜力大、基础条件好、积极性高的地区，推进高标准农田建设整区域示范。</w:t>
      </w:r>
    </w:p>
    <w:p>
      <w:pPr>
        <w:pStyle w:val="4"/>
        <w:bidi w:val="0"/>
        <w:rPr>
          <w:b w:val="0"/>
          <w:bCs w:val="0"/>
          <w:color w:val="auto"/>
          <w:sz w:val="32"/>
          <w:szCs w:val="32"/>
        </w:rPr>
      </w:pPr>
      <w:bookmarkStart w:id="148" w:name="_Toc14337_WPSOffice_Level2"/>
      <w:bookmarkStart w:id="149" w:name="_Toc101193354"/>
      <w:bookmarkStart w:id="150" w:name="_Toc6309_WPSOffice_Level2"/>
      <w:r>
        <w:rPr>
          <w:b w:val="0"/>
          <w:bCs w:val="0"/>
          <w:color w:val="auto"/>
          <w:sz w:val="32"/>
          <w:szCs w:val="32"/>
        </w:rPr>
        <w:t>五、创新建管模式</w:t>
      </w:r>
      <w:bookmarkEnd w:id="148"/>
      <w:bookmarkEnd w:id="149"/>
      <w:bookmarkEnd w:id="150"/>
    </w:p>
    <w:p>
      <w:pPr>
        <w:overflowPunct w:val="0"/>
        <w:autoSpaceDE w:val="0"/>
        <w:autoSpaceDN w:val="0"/>
        <w:adjustRightInd w:val="0"/>
        <w:snapToGrid w:val="0"/>
        <w:spacing w:line="640" w:lineRule="exact"/>
        <w:ind w:firstLine="640" w:firstLineChars="200"/>
        <w:rPr>
          <w:rFonts w:hint="eastAsia"/>
          <w:color w:val="auto"/>
          <w:sz w:val="32"/>
          <w:szCs w:val="32"/>
          <w:lang w:val="en-US" w:eastAsia="zh-CN"/>
        </w:rPr>
      </w:pPr>
      <w:r>
        <w:rPr>
          <w:rFonts w:hint="eastAsia" w:ascii="楷体" w:hAnsi="楷体" w:eastAsia="楷体" w:cs="楷体"/>
          <w:color w:val="auto"/>
          <w:sz w:val="32"/>
          <w:szCs w:val="32"/>
          <w:lang w:val="en-US" w:eastAsia="zh-CN"/>
        </w:rPr>
        <w:t>（一）完善政策制度体系</w:t>
      </w:r>
      <w:r>
        <w:rPr>
          <w:rFonts w:hint="eastAsia"/>
          <w:color w:val="auto"/>
          <w:sz w:val="32"/>
          <w:szCs w:val="32"/>
          <w:lang w:val="en-US" w:eastAsia="zh-CN"/>
        </w:rPr>
        <w:t>。适应农田建设新形势、新任务和新要求，进一步健全完善项目管理、资金管理、质量管理、监督评价等制度办法，各县（区）要根据国家和省、市农田建设政策制度，结合实际制定具体办法，加快构建覆盖全程、配套衔接、务实高效的政策制度体系，推进农田建设管理体系和管理能力现代化。</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（二）开展示范区建设。</w:t>
      </w:r>
      <w:r>
        <w:rPr>
          <w:rFonts w:hint="eastAsia"/>
          <w:color w:val="auto"/>
          <w:sz w:val="32"/>
          <w:szCs w:val="32"/>
          <w:lang w:val="en-US" w:eastAsia="zh-CN"/>
        </w:rPr>
        <w:t>落实《安徽省人民政府办公厅关于切实加强高标准农田建设提升国家粮食安全保障能力的实施意见》有关要求，围绕提高农业产业体系、生产体系和经营体系现代化水平，统筹涉农资金，聚集资源要素，开展高标准农田示范区建设助力现代农业发展探索实践，东至县首先开展整县推进工程试点，其他县（区）积极探索，最终形成一批生产规模化、作业机械化、服务社会化、经营市场化、管理数字化的农业现代化先行区。</w:t>
      </w:r>
    </w:p>
    <w:p>
      <w:pPr>
        <w:bidi w:val="0"/>
        <w:rPr>
          <w:color w:val="auto"/>
        </w:rPr>
      </w:pPr>
      <w:bookmarkStart w:id="151" w:name="_Toc101193355"/>
      <w:r>
        <w:rPr>
          <w:rFonts w:hint="eastAsia" w:ascii="楷体" w:hAnsi="楷体" w:eastAsia="楷体" w:cs="楷体"/>
          <w:color w:val="auto"/>
          <w:sz w:val="32"/>
          <w:szCs w:val="32"/>
          <w:lang w:val="en-US" w:eastAsia="zh-CN"/>
        </w:rPr>
        <w:t>（三）开展保险试点工作。</w:t>
      </w:r>
      <w:r>
        <w:rPr>
          <w:rFonts w:hint="eastAsia"/>
          <w:color w:val="auto"/>
          <w:sz w:val="32"/>
          <w:szCs w:val="32"/>
          <w:lang w:val="en-US" w:eastAsia="zh-CN"/>
        </w:rPr>
        <w:t>按照《安徽省农业农村厅 安徽省财政厅 安徽省地方金融监督管理局 中国银行保险监督管理委员会安徽监管局关于印发安徽省高标准农田保险试点工作试点方案的通知》有关要求，2022年，贵池区、东至县、青阳县、石台县各选择1至3个乡镇开展试点，积累试点经验，在此基础上，统筹谋划，适时在全市面上推广。鼓励各地结合实际，按照积极稳妥原则探索将符合条件的历年已建高标准农田逐步纳入保险范畴</w:t>
      </w:r>
      <w:r>
        <w:rPr>
          <w:rFonts w:hint="eastAsia"/>
          <w:color w:val="auto"/>
        </w:rPr>
        <w:t>。</w:t>
      </w:r>
    </w:p>
    <w:p>
      <w:pPr>
        <w:pStyle w:val="4"/>
        <w:bidi w:val="0"/>
        <w:rPr>
          <w:b w:val="0"/>
          <w:bCs w:val="0"/>
          <w:color w:val="auto"/>
          <w:sz w:val="32"/>
          <w:szCs w:val="32"/>
        </w:rPr>
      </w:pPr>
      <w:bookmarkStart w:id="152" w:name="_Toc23914_WPSOffice_Level2"/>
      <w:bookmarkStart w:id="153" w:name="_Toc5667_WPSOffice_Level2"/>
      <w:r>
        <w:rPr>
          <w:b w:val="0"/>
          <w:bCs w:val="0"/>
          <w:color w:val="auto"/>
          <w:sz w:val="32"/>
          <w:szCs w:val="32"/>
        </w:rPr>
        <w:t>六、严格监督考核</w:t>
      </w:r>
      <w:bookmarkEnd w:id="151"/>
      <w:bookmarkEnd w:id="152"/>
      <w:bookmarkEnd w:id="153"/>
    </w:p>
    <w:p>
      <w:pPr>
        <w:overflowPunct w:val="0"/>
        <w:autoSpaceDE w:val="0"/>
        <w:autoSpaceDN w:val="0"/>
        <w:adjustRightInd w:val="0"/>
        <w:snapToGrid w:val="0"/>
        <w:spacing w:line="640" w:lineRule="exact"/>
        <w:ind w:firstLine="640" w:firstLineChars="200"/>
        <w:rPr>
          <w:rFonts w:hint="eastAsia"/>
          <w:color w:val="auto"/>
          <w:sz w:val="32"/>
          <w:szCs w:val="32"/>
          <w:lang w:val="en-US" w:eastAsia="zh-CN"/>
        </w:rPr>
      </w:pPr>
      <w:r>
        <w:rPr>
          <w:rFonts w:hint="eastAsia" w:ascii="楷体" w:hAnsi="楷体" w:eastAsia="楷体" w:cs="楷体"/>
          <w:color w:val="auto"/>
          <w:sz w:val="32"/>
          <w:szCs w:val="32"/>
          <w:lang w:val="en-US" w:eastAsia="zh-CN"/>
        </w:rPr>
        <w:t>（一）强化激励考核。</w:t>
      </w:r>
      <w:r>
        <w:rPr>
          <w:rFonts w:hint="eastAsia"/>
          <w:color w:val="auto"/>
          <w:sz w:val="32"/>
          <w:szCs w:val="32"/>
          <w:lang w:val="en-US" w:eastAsia="zh-CN"/>
        </w:rPr>
        <w:t>建立健全“定期调度、分析研判、通报约谈、奖优罚劣”的任务落实机制，加强项目日常监管和跟踪指导。进一步完善高标准农田建设评价制度，强化评价结果运用，对完成任务好的予以倾斜支持，对未完成任务的进行约谈。</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（二）主动接受监督。</w:t>
      </w:r>
      <w:r>
        <w:rPr>
          <w:rFonts w:hint="eastAsia"/>
          <w:color w:val="auto"/>
          <w:sz w:val="32"/>
          <w:szCs w:val="32"/>
          <w:lang w:val="en-US" w:eastAsia="zh-CN"/>
        </w:rPr>
        <w:t>尊重农民意愿，维护农民权益，保障农民知情权、参与权和监督权，及时公开公示项目建设相关信息，主动接受社会和群众监督。积极引导农村集体经济组织、农民、社会组织等各方面广泛参与高标准农田建设工作，形成共同监督、共同参与的良好氛围。注重发挥农民群众的主体作用，激发村集体、农民及新型农业经营主体等参与高标准农田项目规划、建设和管护等方面的积极性、主动性和创造性。</w:t>
      </w:r>
    </w:p>
    <w:p>
      <w:pPr>
        <w:bidi w:val="0"/>
        <w:rPr>
          <w:rFonts w:hint="eastAsia"/>
          <w:color w:val="auto"/>
          <w:sz w:val="32"/>
          <w:szCs w:val="32"/>
          <w:lang w:val="en-US" w:eastAsia="zh-CN"/>
        </w:rPr>
      </w:pPr>
      <w:r>
        <w:rPr>
          <w:rFonts w:hint="eastAsia" w:ascii="楷体" w:hAnsi="楷体" w:eastAsia="楷体" w:cs="楷体"/>
          <w:color w:val="auto"/>
          <w:sz w:val="32"/>
          <w:szCs w:val="32"/>
          <w:lang w:val="en-US" w:eastAsia="zh-CN"/>
        </w:rPr>
        <w:t>（三）做好风险防控。</w:t>
      </w:r>
      <w:r>
        <w:rPr>
          <w:rFonts w:hint="eastAsia"/>
          <w:color w:val="auto"/>
          <w:sz w:val="32"/>
          <w:szCs w:val="32"/>
          <w:lang w:val="en-US" w:eastAsia="zh-CN"/>
        </w:rPr>
        <w:t>建立健全教育、制度、监督并重的农田建设管理风险防控长效机制，落实《安徽省农业农村厅关于加强农田建设管理风险防控工作的意见》（皖</w:t>
      </w:r>
      <w:r>
        <w:rPr>
          <w:rFonts w:hint="default"/>
          <w:color w:val="auto"/>
          <w:sz w:val="32"/>
          <w:szCs w:val="32"/>
          <w:lang w:val="en-US" w:eastAsia="zh-CN"/>
        </w:rPr>
        <w:t>农建〔2020〕58号）</w:t>
      </w:r>
      <w:r>
        <w:rPr>
          <w:rFonts w:hint="eastAsia"/>
          <w:color w:val="auto"/>
          <w:sz w:val="32"/>
          <w:szCs w:val="32"/>
          <w:lang w:val="en-US" w:eastAsia="zh-CN"/>
        </w:rPr>
        <w:t>《</w:t>
      </w:r>
      <w:r>
        <w:rPr>
          <w:rFonts w:hint="default"/>
          <w:color w:val="auto"/>
          <w:sz w:val="32"/>
          <w:szCs w:val="32"/>
          <w:lang w:val="en-US" w:eastAsia="zh-CN"/>
        </w:rPr>
        <w:t>安徽省农业农村厅关于印发</w:t>
      </w:r>
      <w:r>
        <w:rPr>
          <w:rFonts w:hint="eastAsia"/>
          <w:color w:val="auto"/>
          <w:sz w:val="32"/>
          <w:szCs w:val="32"/>
          <w:lang w:val="en-US" w:eastAsia="zh-CN"/>
        </w:rPr>
        <w:t>安徽省农田建设“十不准”工作规定</w:t>
      </w:r>
      <w:r>
        <w:rPr>
          <w:rFonts w:hint="default"/>
          <w:color w:val="auto"/>
          <w:sz w:val="32"/>
          <w:szCs w:val="32"/>
          <w:lang w:val="en-US" w:eastAsia="zh-CN"/>
        </w:rPr>
        <w:t>的通知</w:t>
      </w:r>
      <w:r>
        <w:rPr>
          <w:rFonts w:hint="eastAsia"/>
          <w:color w:val="auto"/>
          <w:sz w:val="32"/>
          <w:szCs w:val="32"/>
          <w:lang w:val="en-US" w:eastAsia="zh-CN"/>
        </w:rPr>
        <w:t>》</w:t>
      </w:r>
      <w:r>
        <w:rPr>
          <w:rFonts w:hint="default"/>
          <w:color w:val="auto"/>
          <w:sz w:val="32"/>
          <w:szCs w:val="32"/>
          <w:lang w:val="en-US" w:eastAsia="zh-CN"/>
        </w:rPr>
        <w:t>（皖农建函〔2020〕704号）</w:t>
      </w:r>
      <w:r>
        <w:rPr>
          <w:rFonts w:hint="eastAsia"/>
          <w:color w:val="auto"/>
          <w:sz w:val="32"/>
          <w:szCs w:val="32"/>
          <w:lang w:val="en-US" w:eastAsia="zh-CN"/>
        </w:rPr>
        <w:t>，强化廉政建设，严肃工作纪律，切实防范农田建设项目管理风险。加强工作督查指导，对发现的问题及时督促整改。严格跟踪问责，对履职不力、监管不严、失职渎职的，依法依规追究责任。</w:t>
      </w:r>
    </w:p>
    <w:p>
      <w:pPr>
        <w:bidi w:val="0"/>
        <w:rPr>
          <w:rFonts w:hint="eastAsia"/>
          <w:color w:val="auto"/>
          <w:lang w:val="en-US" w:eastAsia="zh-CN"/>
        </w:rPr>
      </w:pPr>
    </w:p>
    <w:sectPr>
      <w:pgSz w:w="11906" w:h="16838"/>
      <w:pgMar w:top="1871" w:right="1502" w:bottom="1587" w:left="1502"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720"/>
      </w:pPr>
      <w:r>
        <w:separator/>
      </w:r>
    </w:p>
  </w:endnote>
  <w:endnote w:type="continuationSeparator" w:id="1">
    <w:p>
      <w:pPr>
        <w:spacing w:line="240" w:lineRule="auto"/>
        <w:ind w:firstLine="7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仿宋_GBK">
    <w:panose1 w:val="02000000000000000000"/>
    <w:charset w:val="86"/>
    <w:family w:val="script"/>
    <w:pitch w:val="default"/>
    <w:sig w:usb0="00000001" w:usb1="08000000" w:usb2="00000000" w:usb3="00000000" w:csb0="00040000" w:csb1="00000000"/>
  </w:font>
  <w:font w:name="CESI黑体-GB2312">
    <w:panose1 w:val="02000500000000000000"/>
    <w:charset w:val="86"/>
    <w:family w:val="auto"/>
    <w:pitch w:val="default"/>
    <w:sig w:usb0="800002BF" w:usb1="184F6CF8" w:usb2="00000012"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创艺简楷体">
    <w:panose1 w:val="00000000000000000000"/>
    <w:charset w:val="00"/>
    <w:family w:val="auto"/>
    <w:pitch w:val="default"/>
    <w:sig w:usb0="00000000" w:usb1="00000000" w:usb2="00000000" w:usb3="00000000" w:csb0="0000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9"/>
                      <w:rPr>
                        <w:rFonts w:hint="eastAsia" w:eastAsia="仿宋"/>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720"/>
      </w:pPr>
      <w:r>
        <w:separator/>
      </w:r>
    </w:p>
  </w:footnote>
  <w:footnote w:type="continuationSeparator" w:id="1">
    <w:p>
      <w:pPr>
        <w:spacing w:line="240" w:lineRule="auto"/>
        <w:ind w:firstLine="7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2015FE"/>
    <w:multiLevelType w:val="singleLevel"/>
    <w:tmpl w:val="AA2015FE"/>
    <w:lvl w:ilvl="0" w:tentative="0">
      <w:start w:val="1"/>
      <w:numFmt w:val="chineseCounting"/>
      <w:suff w:val="nothing"/>
      <w:lvlText w:val="%1、"/>
      <w:lvlJc w:val="left"/>
      <w:rPr>
        <w:rFonts w:hint="eastAsia"/>
      </w:rPr>
    </w:lvl>
  </w:abstractNum>
  <w:abstractNum w:abstractNumId="1">
    <w:nsid w:val="AE489E5A"/>
    <w:multiLevelType w:val="singleLevel"/>
    <w:tmpl w:val="AE489E5A"/>
    <w:lvl w:ilvl="0" w:tentative="0">
      <w:start w:val="1"/>
      <w:numFmt w:val="chineseCounting"/>
      <w:suff w:val="space"/>
      <w:lvlText w:val="第%1章"/>
      <w:lvlJc w:val="left"/>
      <w:rPr>
        <w:rFonts w:hint="eastAsia"/>
      </w:rPr>
    </w:lvl>
  </w:abstractNum>
  <w:abstractNum w:abstractNumId="2">
    <w:nsid w:val="54715198"/>
    <w:multiLevelType w:val="singleLevel"/>
    <w:tmpl w:val="54715198"/>
    <w:lvl w:ilvl="0" w:tentative="0">
      <w:start w:val="4"/>
      <w:numFmt w:val="chineseCounting"/>
      <w:suff w:val="space"/>
      <w:lvlText w:val="第%1章"/>
      <w:lvlJc w:val="left"/>
      <w:rPr>
        <w:rFonts w:hint="eastAsia"/>
      </w:rPr>
    </w:lvl>
  </w:abstractNum>
  <w:abstractNum w:abstractNumId="3">
    <w:nsid w:val="5995E337"/>
    <w:multiLevelType w:val="singleLevel"/>
    <w:tmpl w:val="5995E337"/>
    <w:lvl w:ilvl="0" w:tentative="0">
      <w:start w:val="1"/>
      <w:numFmt w:val="chineseCounting"/>
      <w:suff w:val="nothing"/>
      <w:lvlText w:val="（%1）"/>
      <w:lvlJc w:val="left"/>
      <w:rPr>
        <w:rFonts w:hint="eastAsia"/>
      </w:rPr>
    </w:lvl>
  </w:abstractNum>
  <w:abstractNum w:abstractNumId="4">
    <w:nsid w:val="5F458718"/>
    <w:multiLevelType w:val="singleLevel"/>
    <w:tmpl w:val="5F458718"/>
    <w:lvl w:ilvl="0" w:tentative="0">
      <w:start w:val="1"/>
      <w:numFmt w:val="chineseCounting"/>
      <w:suff w:val="nothing"/>
      <w:lvlText w:val="%1、"/>
      <w:lvlJc w:val="left"/>
      <w:rPr>
        <w:rFonts w:hint="eastAsia"/>
      </w:rPr>
    </w:lvl>
  </w:abstractNum>
  <w:abstractNum w:abstractNumId="5">
    <w:nsid w:val="69C558C7"/>
    <w:multiLevelType w:val="singleLevel"/>
    <w:tmpl w:val="69C558C7"/>
    <w:lvl w:ilvl="0" w:tentative="0">
      <w:start w:val="1"/>
      <w:numFmt w:val="chineseCounting"/>
      <w:suff w:val="nothing"/>
      <w:lvlText w:val="%1、"/>
      <w:lvlJc w:val="left"/>
      <w:rPr>
        <w:rFonts w:hint="eastAsia"/>
      </w:rPr>
    </w:lvl>
  </w:abstractNum>
  <w:abstractNum w:abstractNumId="6">
    <w:nsid w:val="7B6C9EA0"/>
    <w:multiLevelType w:val="singleLevel"/>
    <w:tmpl w:val="7B6C9EA0"/>
    <w:lvl w:ilvl="0" w:tentative="0">
      <w:start w:val="1"/>
      <w:numFmt w:val="chineseCounting"/>
      <w:suff w:val="nothing"/>
      <w:lvlText w:val="（%1）"/>
      <w:lvlJc w:val="left"/>
      <w:rPr>
        <w:rFonts w:hint="eastAsia"/>
      </w:r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wZGE5YWJlOWRhNDUyODNjOWZiODMyOGQ1NTYyMWQifQ=="/>
  </w:docVars>
  <w:rsids>
    <w:rsidRoot w:val="00000000"/>
    <w:rsid w:val="000503AB"/>
    <w:rsid w:val="00086A83"/>
    <w:rsid w:val="000942B7"/>
    <w:rsid w:val="00353B83"/>
    <w:rsid w:val="004224C2"/>
    <w:rsid w:val="004746BA"/>
    <w:rsid w:val="00C36B5B"/>
    <w:rsid w:val="00EB60B2"/>
    <w:rsid w:val="01635C49"/>
    <w:rsid w:val="0176597C"/>
    <w:rsid w:val="017D0A3E"/>
    <w:rsid w:val="01A2062B"/>
    <w:rsid w:val="01AA4CF6"/>
    <w:rsid w:val="01C95207"/>
    <w:rsid w:val="01DE4F25"/>
    <w:rsid w:val="01EE2BD1"/>
    <w:rsid w:val="01FE6B62"/>
    <w:rsid w:val="020A0AA4"/>
    <w:rsid w:val="023B17BB"/>
    <w:rsid w:val="02565861"/>
    <w:rsid w:val="029E40ED"/>
    <w:rsid w:val="02D45050"/>
    <w:rsid w:val="02E34EA5"/>
    <w:rsid w:val="02E958D7"/>
    <w:rsid w:val="02F73DEE"/>
    <w:rsid w:val="03034482"/>
    <w:rsid w:val="033C60AA"/>
    <w:rsid w:val="03465B2E"/>
    <w:rsid w:val="03772173"/>
    <w:rsid w:val="038A39A0"/>
    <w:rsid w:val="03AB3277"/>
    <w:rsid w:val="03D43FCB"/>
    <w:rsid w:val="03DF6104"/>
    <w:rsid w:val="04992E63"/>
    <w:rsid w:val="04B113EE"/>
    <w:rsid w:val="04B21229"/>
    <w:rsid w:val="04C64FF4"/>
    <w:rsid w:val="04D00706"/>
    <w:rsid w:val="05091BB0"/>
    <w:rsid w:val="050B287F"/>
    <w:rsid w:val="0515491C"/>
    <w:rsid w:val="05A050D8"/>
    <w:rsid w:val="05B637FC"/>
    <w:rsid w:val="05C57025"/>
    <w:rsid w:val="05CB30EC"/>
    <w:rsid w:val="060F3C66"/>
    <w:rsid w:val="061F2A86"/>
    <w:rsid w:val="063A78C0"/>
    <w:rsid w:val="063F4ED6"/>
    <w:rsid w:val="06430CCF"/>
    <w:rsid w:val="066370A5"/>
    <w:rsid w:val="06685400"/>
    <w:rsid w:val="06724640"/>
    <w:rsid w:val="06905732"/>
    <w:rsid w:val="06A42FEB"/>
    <w:rsid w:val="06C509F8"/>
    <w:rsid w:val="06D51397"/>
    <w:rsid w:val="070026F9"/>
    <w:rsid w:val="07070EA5"/>
    <w:rsid w:val="07100621"/>
    <w:rsid w:val="0796137A"/>
    <w:rsid w:val="07BE68AA"/>
    <w:rsid w:val="07DA3B6F"/>
    <w:rsid w:val="080812F8"/>
    <w:rsid w:val="08096ED2"/>
    <w:rsid w:val="08450161"/>
    <w:rsid w:val="085F798A"/>
    <w:rsid w:val="08615A09"/>
    <w:rsid w:val="08670714"/>
    <w:rsid w:val="09413E70"/>
    <w:rsid w:val="09855E77"/>
    <w:rsid w:val="09D5345C"/>
    <w:rsid w:val="09D8346D"/>
    <w:rsid w:val="09E30280"/>
    <w:rsid w:val="09F47D86"/>
    <w:rsid w:val="09F7266F"/>
    <w:rsid w:val="0ABE14CD"/>
    <w:rsid w:val="0B371D0C"/>
    <w:rsid w:val="0B386E90"/>
    <w:rsid w:val="0B5D7AED"/>
    <w:rsid w:val="0B9C76C1"/>
    <w:rsid w:val="0BCF02AA"/>
    <w:rsid w:val="0C45548B"/>
    <w:rsid w:val="0C514DDC"/>
    <w:rsid w:val="0C8F2C33"/>
    <w:rsid w:val="0CF6774A"/>
    <w:rsid w:val="0D3D7C96"/>
    <w:rsid w:val="0D8C4BF5"/>
    <w:rsid w:val="0D9B1862"/>
    <w:rsid w:val="0DFA594D"/>
    <w:rsid w:val="0E166EA4"/>
    <w:rsid w:val="0E1A39EB"/>
    <w:rsid w:val="0E3E1F17"/>
    <w:rsid w:val="0E6C4CD8"/>
    <w:rsid w:val="0E8A3462"/>
    <w:rsid w:val="0EF5379F"/>
    <w:rsid w:val="0F362BEE"/>
    <w:rsid w:val="0F692FC4"/>
    <w:rsid w:val="0FC81CD8"/>
    <w:rsid w:val="0FE077E5"/>
    <w:rsid w:val="1052457B"/>
    <w:rsid w:val="10565EB7"/>
    <w:rsid w:val="106A0DA2"/>
    <w:rsid w:val="106B53DE"/>
    <w:rsid w:val="109B71AD"/>
    <w:rsid w:val="10A605C3"/>
    <w:rsid w:val="10AC2039"/>
    <w:rsid w:val="10D718A1"/>
    <w:rsid w:val="10DE52EC"/>
    <w:rsid w:val="112D33E4"/>
    <w:rsid w:val="113D42B9"/>
    <w:rsid w:val="114C7CE3"/>
    <w:rsid w:val="1196280C"/>
    <w:rsid w:val="11B17DF2"/>
    <w:rsid w:val="11DD1B65"/>
    <w:rsid w:val="11E005FB"/>
    <w:rsid w:val="12185560"/>
    <w:rsid w:val="12883537"/>
    <w:rsid w:val="129D78DE"/>
    <w:rsid w:val="12BB771E"/>
    <w:rsid w:val="12FE5B88"/>
    <w:rsid w:val="13275128"/>
    <w:rsid w:val="13C76A41"/>
    <w:rsid w:val="13CD1DFA"/>
    <w:rsid w:val="13ED6877"/>
    <w:rsid w:val="13F775F0"/>
    <w:rsid w:val="143E3494"/>
    <w:rsid w:val="1494463F"/>
    <w:rsid w:val="14A01236"/>
    <w:rsid w:val="14A23773"/>
    <w:rsid w:val="14AC622E"/>
    <w:rsid w:val="153E4536"/>
    <w:rsid w:val="154B3CDA"/>
    <w:rsid w:val="15565E4D"/>
    <w:rsid w:val="15630197"/>
    <w:rsid w:val="158D0CFB"/>
    <w:rsid w:val="159F1212"/>
    <w:rsid w:val="15B00B15"/>
    <w:rsid w:val="15BF56ED"/>
    <w:rsid w:val="15FA2158"/>
    <w:rsid w:val="16016036"/>
    <w:rsid w:val="161D295D"/>
    <w:rsid w:val="162A419A"/>
    <w:rsid w:val="1638132F"/>
    <w:rsid w:val="163C1AB8"/>
    <w:rsid w:val="165006DF"/>
    <w:rsid w:val="16912918"/>
    <w:rsid w:val="169E5538"/>
    <w:rsid w:val="16AD49DE"/>
    <w:rsid w:val="17206A2F"/>
    <w:rsid w:val="17276132"/>
    <w:rsid w:val="174614D9"/>
    <w:rsid w:val="17A04520"/>
    <w:rsid w:val="17A20BD4"/>
    <w:rsid w:val="17BD7B55"/>
    <w:rsid w:val="17D023BA"/>
    <w:rsid w:val="17DD62FD"/>
    <w:rsid w:val="17EF3F2D"/>
    <w:rsid w:val="17F906B8"/>
    <w:rsid w:val="18346639"/>
    <w:rsid w:val="18C63235"/>
    <w:rsid w:val="18D25700"/>
    <w:rsid w:val="191C5BAE"/>
    <w:rsid w:val="196D2C99"/>
    <w:rsid w:val="198033E4"/>
    <w:rsid w:val="19D07F5C"/>
    <w:rsid w:val="19DD6C02"/>
    <w:rsid w:val="19E85757"/>
    <w:rsid w:val="1A05125B"/>
    <w:rsid w:val="1A310B82"/>
    <w:rsid w:val="1A882AFB"/>
    <w:rsid w:val="1A8C400A"/>
    <w:rsid w:val="1AAF7880"/>
    <w:rsid w:val="1ACD34E5"/>
    <w:rsid w:val="1AE2543D"/>
    <w:rsid w:val="1AF20F2C"/>
    <w:rsid w:val="1B140288"/>
    <w:rsid w:val="1B6F54BE"/>
    <w:rsid w:val="1B9C64CF"/>
    <w:rsid w:val="1BBD1F0B"/>
    <w:rsid w:val="1BC94852"/>
    <w:rsid w:val="1BD46DDD"/>
    <w:rsid w:val="1BF30757"/>
    <w:rsid w:val="1BFC56E4"/>
    <w:rsid w:val="1BFD529F"/>
    <w:rsid w:val="1C177904"/>
    <w:rsid w:val="1C765C9F"/>
    <w:rsid w:val="1C8036FB"/>
    <w:rsid w:val="1D4E55EC"/>
    <w:rsid w:val="1D9C6312"/>
    <w:rsid w:val="1DB60FD8"/>
    <w:rsid w:val="1DDA4574"/>
    <w:rsid w:val="1DFF0FD8"/>
    <w:rsid w:val="1E79566C"/>
    <w:rsid w:val="1EAE1EFC"/>
    <w:rsid w:val="1EC02C39"/>
    <w:rsid w:val="1EC37D91"/>
    <w:rsid w:val="1ECE33EC"/>
    <w:rsid w:val="1EF0174A"/>
    <w:rsid w:val="1EFD1033"/>
    <w:rsid w:val="1F057CAB"/>
    <w:rsid w:val="1F2927A9"/>
    <w:rsid w:val="1F525648"/>
    <w:rsid w:val="1F5F658A"/>
    <w:rsid w:val="1F9D6372"/>
    <w:rsid w:val="1FB7492D"/>
    <w:rsid w:val="1FC7ABD5"/>
    <w:rsid w:val="201C58F5"/>
    <w:rsid w:val="202F6B60"/>
    <w:rsid w:val="206375BB"/>
    <w:rsid w:val="209B63B7"/>
    <w:rsid w:val="20BC34BD"/>
    <w:rsid w:val="20E51AC6"/>
    <w:rsid w:val="21867BCC"/>
    <w:rsid w:val="21F032CF"/>
    <w:rsid w:val="222766AD"/>
    <w:rsid w:val="22622802"/>
    <w:rsid w:val="22E3607F"/>
    <w:rsid w:val="23463E7D"/>
    <w:rsid w:val="238D08CC"/>
    <w:rsid w:val="239575E6"/>
    <w:rsid w:val="2399736C"/>
    <w:rsid w:val="23A128D5"/>
    <w:rsid w:val="23B509A4"/>
    <w:rsid w:val="23B653DB"/>
    <w:rsid w:val="2423778D"/>
    <w:rsid w:val="24246349"/>
    <w:rsid w:val="246758CC"/>
    <w:rsid w:val="248925F1"/>
    <w:rsid w:val="24911D9B"/>
    <w:rsid w:val="255142F1"/>
    <w:rsid w:val="257B1B70"/>
    <w:rsid w:val="25DA0320"/>
    <w:rsid w:val="25F0369F"/>
    <w:rsid w:val="260B33A9"/>
    <w:rsid w:val="2671650A"/>
    <w:rsid w:val="267511C1"/>
    <w:rsid w:val="26CD1C32"/>
    <w:rsid w:val="26CD2AC5"/>
    <w:rsid w:val="27123908"/>
    <w:rsid w:val="27191DB9"/>
    <w:rsid w:val="27382044"/>
    <w:rsid w:val="27395BF6"/>
    <w:rsid w:val="274664F8"/>
    <w:rsid w:val="279C601E"/>
    <w:rsid w:val="27A26C29"/>
    <w:rsid w:val="27C05BB3"/>
    <w:rsid w:val="27CA4388"/>
    <w:rsid w:val="27CF6084"/>
    <w:rsid w:val="27E32385"/>
    <w:rsid w:val="283E65FC"/>
    <w:rsid w:val="285A2C3A"/>
    <w:rsid w:val="28B364CF"/>
    <w:rsid w:val="28BA534D"/>
    <w:rsid w:val="28E11534"/>
    <w:rsid w:val="299B2824"/>
    <w:rsid w:val="2A587A65"/>
    <w:rsid w:val="2A5A6C6E"/>
    <w:rsid w:val="2A9767DF"/>
    <w:rsid w:val="2AA1761C"/>
    <w:rsid w:val="2B314DBC"/>
    <w:rsid w:val="2B4B22A0"/>
    <w:rsid w:val="2B643B65"/>
    <w:rsid w:val="2B770F5A"/>
    <w:rsid w:val="2B8559E6"/>
    <w:rsid w:val="2BD0215F"/>
    <w:rsid w:val="2BD4136D"/>
    <w:rsid w:val="2BE92FB2"/>
    <w:rsid w:val="2BF81500"/>
    <w:rsid w:val="2C2C218F"/>
    <w:rsid w:val="2C7E27DB"/>
    <w:rsid w:val="2CA03331"/>
    <w:rsid w:val="2CA32B27"/>
    <w:rsid w:val="2CE87EAA"/>
    <w:rsid w:val="2CF65430"/>
    <w:rsid w:val="2D0E4090"/>
    <w:rsid w:val="2D3A39FB"/>
    <w:rsid w:val="2DC210BB"/>
    <w:rsid w:val="2E04168C"/>
    <w:rsid w:val="2E144D73"/>
    <w:rsid w:val="2E4C7B82"/>
    <w:rsid w:val="2EFE047E"/>
    <w:rsid w:val="2F210D6D"/>
    <w:rsid w:val="2F561738"/>
    <w:rsid w:val="2F761F59"/>
    <w:rsid w:val="2F9F7D65"/>
    <w:rsid w:val="2FBB8AC3"/>
    <w:rsid w:val="2FE72220"/>
    <w:rsid w:val="2FE85327"/>
    <w:rsid w:val="2FF75DEF"/>
    <w:rsid w:val="2FFE8C6A"/>
    <w:rsid w:val="304B5DEC"/>
    <w:rsid w:val="304F147C"/>
    <w:rsid w:val="306B598A"/>
    <w:rsid w:val="307153DD"/>
    <w:rsid w:val="3098505F"/>
    <w:rsid w:val="309B1F2D"/>
    <w:rsid w:val="30B616BA"/>
    <w:rsid w:val="30DE29C7"/>
    <w:rsid w:val="30FD3B8A"/>
    <w:rsid w:val="31191585"/>
    <w:rsid w:val="311C0372"/>
    <w:rsid w:val="313FE836"/>
    <w:rsid w:val="31BB42A1"/>
    <w:rsid w:val="31C6519A"/>
    <w:rsid w:val="31DD6D20"/>
    <w:rsid w:val="31FD541C"/>
    <w:rsid w:val="320C7AB3"/>
    <w:rsid w:val="320D55D9"/>
    <w:rsid w:val="32133C80"/>
    <w:rsid w:val="322C0750"/>
    <w:rsid w:val="32364B30"/>
    <w:rsid w:val="32627887"/>
    <w:rsid w:val="3275301D"/>
    <w:rsid w:val="3288137B"/>
    <w:rsid w:val="33234D83"/>
    <w:rsid w:val="335A100F"/>
    <w:rsid w:val="339E109E"/>
    <w:rsid w:val="33A33BD4"/>
    <w:rsid w:val="33BC2E13"/>
    <w:rsid w:val="33D078E4"/>
    <w:rsid w:val="33D27101"/>
    <w:rsid w:val="33FC5673"/>
    <w:rsid w:val="34441786"/>
    <w:rsid w:val="34713BFD"/>
    <w:rsid w:val="34867B72"/>
    <w:rsid w:val="34CA6E60"/>
    <w:rsid w:val="34CE371B"/>
    <w:rsid w:val="34E92D28"/>
    <w:rsid w:val="34FA47EA"/>
    <w:rsid w:val="350478CF"/>
    <w:rsid w:val="352406D6"/>
    <w:rsid w:val="3535457E"/>
    <w:rsid w:val="355A0D43"/>
    <w:rsid w:val="3570514C"/>
    <w:rsid w:val="35EB8C78"/>
    <w:rsid w:val="360441BF"/>
    <w:rsid w:val="361E756D"/>
    <w:rsid w:val="3640119F"/>
    <w:rsid w:val="364A093C"/>
    <w:rsid w:val="364F61C0"/>
    <w:rsid w:val="3660217B"/>
    <w:rsid w:val="36795DC1"/>
    <w:rsid w:val="36A52C9F"/>
    <w:rsid w:val="36BDFB59"/>
    <w:rsid w:val="36E06005"/>
    <w:rsid w:val="36E55D52"/>
    <w:rsid w:val="36F23231"/>
    <w:rsid w:val="37184804"/>
    <w:rsid w:val="375A7F25"/>
    <w:rsid w:val="377B56A5"/>
    <w:rsid w:val="377CF852"/>
    <w:rsid w:val="37A140C3"/>
    <w:rsid w:val="37A46016"/>
    <w:rsid w:val="37A76902"/>
    <w:rsid w:val="37AD5E8C"/>
    <w:rsid w:val="38004BB7"/>
    <w:rsid w:val="380E016E"/>
    <w:rsid w:val="380E4447"/>
    <w:rsid w:val="38740160"/>
    <w:rsid w:val="38D24458"/>
    <w:rsid w:val="38FC788C"/>
    <w:rsid w:val="392E47B3"/>
    <w:rsid w:val="39797168"/>
    <w:rsid w:val="39CC413E"/>
    <w:rsid w:val="39D45AA2"/>
    <w:rsid w:val="3A3079F7"/>
    <w:rsid w:val="3A663D9E"/>
    <w:rsid w:val="3A751F6D"/>
    <w:rsid w:val="3A77372A"/>
    <w:rsid w:val="3AE16D53"/>
    <w:rsid w:val="3B40257B"/>
    <w:rsid w:val="3B5D3BE4"/>
    <w:rsid w:val="3B6912F5"/>
    <w:rsid w:val="3B883620"/>
    <w:rsid w:val="3B9F369A"/>
    <w:rsid w:val="3BA7205E"/>
    <w:rsid w:val="3BED2704"/>
    <w:rsid w:val="3C252568"/>
    <w:rsid w:val="3C917532"/>
    <w:rsid w:val="3CD45671"/>
    <w:rsid w:val="3CED47E8"/>
    <w:rsid w:val="3D263D3A"/>
    <w:rsid w:val="3D616F86"/>
    <w:rsid w:val="3D684A0B"/>
    <w:rsid w:val="3D713E7E"/>
    <w:rsid w:val="3D7D3613"/>
    <w:rsid w:val="3DD5344F"/>
    <w:rsid w:val="3DDADF9B"/>
    <w:rsid w:val="3DFA29BF"/>
    <w:rsid w:val="3DFD7462"/>
    <w:rsid w:val="3DFF3A68"/>
    <w:rsid w:val="3E516204"/>
    <w:rsid w:val="3EB16855"/>
    <w:rsid w:val="3F143D5A"/>
    <w:rsid w:val="3F5330DC"/>
    <w:rsid w:val="3F56236D"/>
    <w:rsid w:val="3F7AB10B"/>
    <w:rsid w:val="3F7F0691"/>
    <w:rsid w:val="3FBA70A9"/>
    <w:rsid w:val="3FBCC574"/>
    <w:rsid w:val="3FCA536A"/>
    <w:rsid w:val="3FD80608"/>
    <w:rsid w:val="3FDFBD33"/>
    <w:rsid w:val="3FF43D28"/>
    <w:rsid w:val="3FFE5CC5"/>
    <w:rsid w:val="400A3812"/>
    <w:rsid w:val="40494DB2"/>
    <w:rsid w:val="40503261"/>
    <w:rsid w:val="408D0FB0"/>
    <w:rsid w:val="40A62120"/>
    <w:rsid w:val="40FC622F"/>
    <w:rsid w:val="41257C62"/>
    <w:rsid w:val="414202E6"/>
    <w:rsid w:val="416965B3"/>
    <w:rsid w:val="417230D7"/>
    <w:rsid w:val="418E2292"/>
    <w:rsid w:val="41946C58"/>
    <w:rsid w:val="41A2509F"/>
    <w:rsid w:val="41EC284B"/>
    <w:rsid w:val="41F37104"/>
    <w:rsid w:val="41FA16D6"/>
    <w:rsid w:val="42434FE8"/>
    <w:rsid w:val="426479D7"/>
    <w:rsid w:val="43241E7F"/>
    <w:rsid w:val="43497B64"/>
    <w:rsid w:val="434F017C"/>
    <w:rsid w:val="435F0420"/>
    <w:rsid w:val="437D25BE"/>
    <w:rsid w:val="43BF48CD"/>
    <w:rsid w:val="43CF14CE"/>
    <w:rsid w:val="44394C6F"/>
    <w:rsid w:val="44620F3E"/>
    <w:rsid w:val="44AA399F"/>
    <w:rsid w:val="44F52628"/>
    <w:rsid w:val="450B4A09"/>
    <w:rsid w:val="452901BB"/>
    <w:rsid w:val="454B6A4A"/>
    <w:rsid w:val="45521A2E"/>
    <w:rsid w:val="45B005B9"/>
    <w:rsid w:val="45FB3C6E"/>
    <w:rsid w:val="4600332C"/>
    <w:rsid w:val="460348D1"/>
    <w:rsid w:val="46085268"/>
    <w:rsid w:val="4617099C"/>
    <w:rsid w:val="46980918"/>
    <w:rsid w:val="46AC3B90"/>
    <w:rsid w:val="46B11CD5"/>
    <w:rsid w:val="4704030B"/>
    <w:rsid w:val="472A7135"/>
    <w:rsid w:val="476D294A"/>
    <w:rsid w:val="47731CDA"/>
    <w:rsid w:val="47B464C6"/>
    <w:rsid w:val="48025732"/>
    <w:rsid w:val="487D4A63"/>
    <w:rsid w:val="489F5105"/>
    <w:rsid w:val="48C4659A"/>
    <w:rsid w:val="48C90AF8"/>
    <w:rsid w:val="48D11DDA"/>
    <w:rsid w:val="48D776EA"/>
    <w:rsid w:val="48FB5A78"/>
    <w:rsid w:val="49310464"/>
    <w:rsid w:val="49520FBA"/>
    <w:rsid w:val="495E1FB7"/>
    <w:rsid w:val="49A2403D"/>
    <w:rsid w:val="49B16F8D"/>
    <w:rsid w:val="49B27B2C"/>
    <w:rsid w:val="49BFFFDC"/>
    <w:rsid w:val="49CC2EDA"/>
    <w:rsid w:val="4A104F60"/>
    <w:rsid w:val="4A3926C0"/>
    <w:rsid w:val="4A4A6F73"/>
    <w:rsid w:val="4A615308"/>
    <w:rsid w:val="4ACA56B2"/>
    <w:rsid w:val="4AD87A63"/>
    <w:rsid w:val="4ADE3A9C"/>
    <w:rsid w:val="4ADE4831"/>
    <w:rsid w:val="4B1F0738"/>
    <w:rsid w:val="4B2C5164"/>
    <w:rsid w:val="4B3814C1"/>
    <w:rsid w:val="4B3F31DE"/>
    <w:rsid w:val="4B811F55"/>
    <w:rsid w:val="4BAC42C6"/>
    <w:rsid w:val="4BB168FC"/>
    <w:rsid w:val="4BB418A9"/>
    <w:rsid w:val="4BED4059"/>
    <w:rsid w:val="4C2E05C4"/>
    <w:rsid w:val="4C9E67F0"/>
    <w:rsid w:val="4CDF5BD4"/>
    <w:rsid w:val="4CEB52D4"/>
    <w:rsid w:val="4CFB1B57"/>
    <w:rsid w:val="4D687F72"/>
    <w:rsid w:val="4DAC2D37"/>
    <w:rsid w:val="4DCB3F26"/>
    <w:rsid w:val="4DCE2B1A"/>
    <w:rsid w:val="4E123E46"/>
    <w:rsid w:val="4E32195E"/>
    <w:rsid w:val="4E683649"/>
    <w:rsid w:val="4ECF2C73"/>
    <w:rsid w:val="4F0F14A5"/>
    <w:rsid w:val="4F2664F9"/>
    <w:rsid w:val="4F8911D5"/>
    <w:rsid w:val="4FBF7C59"/>
    <w:rsid w:val="4FCB3D0E"/>
    <w:rsid w:val="4FE16E24"/>
    <w:rsid w:val="5003107E"/>
    <w:rsid w:val="502A587C"/>
    <w:rsid w:val="503E1024"/>
    <w:rsid w:val="5079438A"/>
    <w:rsid w:val="50805444"/>
    <w:rsid w:val="510436B8"/>
    <w:rsid w:val="510D3FD3"/>
    <w:rsid w:val="512E1286"/>
    <w:rsid w:val="51EA39A6"/>
    <w:rsid w:val="51FED7AB"/>
    <w:rsid w:val="52445A58"/>
    <w:rsid w:val="52A6735C"/>
    <w:rsid w:val="52C27C7B"/>
    <w:rsid w:val="53064C4D"/>
    <w:rsid w:val="53302189"/>
    <w:rsid w:val="53E26336"/>
    <w:rsid w:val="53F7AD72"/>
    <w:rsid w:val="53FA5565"/>
    <w:rsid w:val="54151303"/>
    <w:rsid w:val="545E17CF"/>
    <w:rsid w:val="549870E2"/>
    <w:rsid w:val="549D4644"/>
    <w:rsid w:val="549F967C"/>
    <w:rsid w:val="54A56347"/>
    <w:rsid w:val="54D05D83"/>
    <w:rsid w:val="55207DCA"/>
    <w:rsid w:val="55753A7D"/>
    <w:rsid w:val="561E2B65"/>
    <w:rsid w:val="56261760"/>
    <w:rsid w:val="56322092"/>
    <w:rsid w:val="567E62B3"/>
    <w:rsid w:val="56CB4497"/>
    <w:rsid w:val="57034145"/>
    <w:rsid w:val="570C248C"/>
    <w:rsid w:val="578B7877"/>
    <w:rsid w:val="57FB365A"/>
    <w:rsid w:val="57FF91CD"/>
    <w:rsid w:val="5835099F"/>
    <w:rsid w:val="587005A3"/>
    <w:rsid w:val="589D1393"/>
    <w:rsid w:val="58E97974"/>
    <w:rsid w:val="590D5D3B"/>
    <w:rsid w:val="591E10BC"/>
    <w:rsid w:val="59433211"/>
    <w:rsid w:val="594352B9"/>
    <w:rsid w:val="597C5E8F"/>
    <w:rsid w:val="59B419C2"/>
    <w:rsid w:val="59C22E50"/>
    <w:rsid w:val="5A1074F0"/>
    <w:rsid w:val="5A4968FF"/>
    <w:rsid w:val="5A8024AB"/>
    <w:rsid w:val="5AD33B31"/>
    <w:rsid w:val="5AF04CFA"/>
    <w:rsid w:val="5B6330C3"/>
    <w:rsid w:val="5B7C2E75"/>
    <w:rsid w:val="5B80134A"/>
    <w:rsid w:val="5BC776FE"/>
    <w:rsid w:val="5BCF1086"/>
    <w:rsid w:val="5BD462C2"/>
    <w:rsid w:val="5BEF2037"/>
    <w:rsid w:val="5C1B3ECB"/>
    <w:rsid w:val="5C375887"/>
    <w:rsid w:val="5C3C3BB3"/>
    <w:rsid w:val="5C3F776D"/>
    <w:rsid w:val="5CB762E9"/>
    <w:rsid w:val="5CD15154"/>
    <w:rsid w:val="5CEE47A1"/>
    <w:rsid w:val="5D0218E2"/>
    <w:rsid w:val="5D082AC3"/>
    <w:rsid w:val="5D2378DB"/>
    <w:rsid w:val="5D325C69"/>
    <w:rsid w:val="5D5C6705"/>
    <w:rsid w:val="5D7EA438"/>
    <w:rsid w:val="5D8A7BC9"/>
    <w:rsid w:val="5DD72473"/>
    <w:rsid w:val="5EA53362"/>
    <w:rsid w:val="5EE578CE"/>
    <w:rsid w:val="5EE77ACC"/>
    <w:rsid w:val="5EEA6517"/>
    <w:rsid w:val="5EFA7CCD"/>
    <w:rsid w:val="5F6B47EE"/>
    <w:rsid w:val="5F6E1216"/>
    <w:rsid w:val="5F9B427C"/>
    <w:rsid w:val="5FCA4555"/>
    <w:rsid w:val="5FDFAC6F"/>
    <w:rsid w:val="6008067D"/>
    <w:rsid w:val="600F61BE"/>
    <w:rsid w:val="601520E1"/>
    <w:rsid w:val="60172113"/>
    <w:rsid w:val="606D74B6"/>
    <w:rsid w:val="612D35D5"/>
    <w:rsid w:val="61EE2249"/>
    <w:rsid w:val="624771E4"/>
    <w:rsid w:val="624D53FA"/>
    <w:rsid w:val="624F1172"/>
    <w:rsid w:val="62526B9B"/>
    <w:rsid w:val="62906FB9"/>
    <w:rsid w:val="629E1542"/>
    <w:rsid w:val="62A73CA3"/>
    <w:rsid w:val="62A857E1"/>
    <w:rsid w:val="62CE28B4"/>
    <w:rsid w:val="62DE604C"/>
    <w:rsid w:val="63365FCF"/>
    <w:rsid w:val="63643F24"/>
    <w:rsid w:val="637264F1"/>
    <w:rsid w:val="63920982"/>
    <w:rsid w:val="63AB38C0"/>
    <w:rsid w:val="63B05C41"/>
    <w:rsid w:val="63BFD95A"/>
    <w:rsid w:val="63C60BC9"/>
    <w:rsid w:val="63F27673"/>
    <w:rsid w:val="63FA5DD9"/>
    <w:rsid w:val="63FF698E"/>
    <w:rsid w:val="641640E2"/>
    <w:rsid w:val="64487C27"/>
    <w:rsid w:val="647924D6"/>
    <w:rsid w:val="647EC94C"/>
    <w:rsid w:val="64A216CA"/>
    <w:rsid w:val="65366998"/>
    <w:rsid w:val="65504EF6"/>
    <w:rsid w:val="65631ECC"/>
    <w:rsid w:val="657B13F8"/>
    <w:rsid w:val="658C3546"/>
    <w:rsid w:val="65C36135"/>
    <w:rsid w:val="65DC0F6F"/>
    <w:rsid w:val="65F2536A"/>
    <w:rsid w:val="65FB00E6"/>
    <w:rsid w:val="66460B4F"/>
    <w:rsid w:val="668D51CC"/>
    <w:rsid w:val="66BD5A7A"/>
    <w:rsid w:val="674522B1"/>
    <w:rsid w:val="677FC794"/>
    <w:rsid w:val="67C33BC0"/>
    <w:rsid w:val="67CB5575"/>
    <w:rsid w:val="68211F50"/>
    <w:rsid w:val="6832131A"/>
    <w:rsid w:val="68727B54"/>
    <w:rsid w:val="687A459E"/>
    <w:rsid w:val="68AF75C2"/>
    <w:rsid w:val="68DB17E9"/>
    <w:rsid w:val="68DE2D09"/>
    <w:rsid w:val="68F52D99"/>
    <w:rsid w:val="6919251C"/>
    <w:rsid w:val="69B33D95"/>
    <w:rsid w:val="69C16AED"/>
    <w:rsid w:val="69CB0672"/>
    <w:rsid w:val="69D96B27"/>
    <w:rsid w:val="69E60B81"/>
    <w:rsid w:val="69F8719C"/>
    <w:rsid w:val="6A4728DC"/>
    <w:rsid w:val="6A4C5DFB"/>
    <w:rsid w:val="6A6C3598"/>
    <w:rsid w:val="6AC2441F"/>
    <w:rsid w:val="6AE847D5"/>
    <w:rsid w:val="6B47ED34"/>
    <w:rsid w:val="6B7C662D"/>
    <w:rsid w:val="6B7D28AD"/>
    <w:rsid w:val="6B7F12E5"/>
    <w:rsid w:val="6B827F6A"/>
    <w:rsid w:val="6BAD44FB"/>
    <w:rsid w:val="6BC32802"/>
    <w:rsid w:val="6BD745F3"/>
    <w:rsid w:val="6BDB5BF1"/>
    <w:rsid w:val="6BFD1C3F"/>
    <w:rsid w:val="6C60783B"/>
    <w:rsid w:val="6C87373C"/>
    <w:rsid w:val="6C8B574A"/>
    <w:rsid w:val="6C984305"/>
    <w:rsid w:val="6C9F4AAF"/>
    <w:rsid w:val="6CE13383"/>
    <w:rsid w:val="6CF37170"/>
    <w:rsid w:val="6CFC0D94"/>
    <w:rsid w:val="6D1945D1"/>
    <w:rsid w:val="6D4573FA"/>
    <w:rsid w:val="6D475D9B"/>
    <w:rsid w:val="6D5E29FF"/>
    <w:rsid w:val="6D6A79E9"/>
    <w:rsid w:val="6D733CD5"/>
    <w:rsid w:val="6D7C07D9"/>
    <w:rsid w:val="6D8B494D"/>
    <w:rsid w:val="6DAA3DA2"/>
    <w:rsid w:val="6DCE2F61"/>
    <w:rsid w:val="6E1C2556"/>
    <w:rsid w:val="6E237A42"/>
    <w:rsid w:val="6E6D6BF9"/>
    <w:rsid w:val="6E6E7869"/>
    <w:rsid w:val="6E9111BD"/>
    <w:rsid w:val="6EBF31DC"/>
    <w:rsid w:val="6F2FC1A2"/>
    <w:rsid w:val="6F71619F"/>
    <w:rsid w:val="6FBB27F8"/>
    <w:rsid w:val="6FBC37DE"/>
    <w:rsid w:val="6FE4258E"/>
    <w:rsid w:val="6FFF438D"/>
    <w:rsid w:val="6FFF5A6B"/>
    <w:rsid w:val="7020267D"/>
    <w:rsid w:val="70207025"/>
    <w:rsid w:val="702E5BAB"/>
    <w:rsid w:val="70A370D3"/>
    <w:rsid w:val="70E039B2"/>
    <w:rsid w:val="70EA43C9"/>
    <w:rsid w:val="713A6130"/>
    <w:rsid w:val="717EDE60"/>
    <w:rsid w:val="71BA4513"/>
    <w:rsid w:val="71D173E1"/>
    <w:rsid w:val="71FF6CE0"/>
    <w:rsid w:val="721708BC"/>
    <w:rsid w:val="72292A47"/>
    <w:rsid w:val="724973DA"/>
    <w:rsid w:val="726D7C03"/>
    <w:rsid w:val="728B3C1E"/>
    <w:rsid w:val="72EE4E2A"/>
    <w:rsid w:val="732D5122"/>
    <w:rsid w:val="73797FBA"/>
    <w:rsid w:val="73B7296C"/>
    <w:rsid w:val="73C52B3B"/>
    <w:rsid w:val="73C57539"/>
    <w:rsid w:val="73C60B96"/>
    <w:rsid w:val="73EC4C3B"/>
    <w:rsid w:val="744D0FEF"/>
    <w:rsid w:val="746B2A3A"/>
    <w:rsid w:val="7478652F"/>
    <w:rsid w:val="74A263EE"/>
    <w:rsid w:val="74A40E40"/>
    <w:rsid w:val="74BD364F"/>
    <w:rsid w:val="74CE23CA"/>
    <w:rsid w:val="74E72327"/>
    <w:rsid w:val="74F49EB4"/>
    <w:rsid w:val="74FBBB43"/>
    <w:rsid w:val="75105270"/>
    <w:rsid w:val="75147228"/>
    <w:rsid w:val="751E0D04"/>
    <w:rsid w:val="753F6E24"/>
    <w:rsid w:val="755328D0"/>
    <w:rsid w:val="757DE146"/>
    <w:rsid w:val="75ED5D32"/>
    <w:rsid w:val="762657D1"/>
    <w:rsid w:val="76442EA2"/>
    <w:rsid w:val="764E2596"/>
    <w:rsid w:val="76557EC3"/>
    <w:rsid w:val="76563B29"/>
    <w:rsid w:val="76B6244F"/>
    <w:rsid w:val="76C9109B"/>
    <w:rsid w:val="76D101FA"/>
    <w:rsid w:val="76EA59A7"/>
    <w:rsid w:val="773C60DB"/>
    <w:rsid w:val="77530965"/>
    <w:rsid w:val="7797129B"/>
    <w:rsid w:val="779D132A"/>
    <w:rsid w:val="77CFD8BB"/>
    <w:rsid w:val="77F74095"/>
    <w:rsid w:val="77FF2905"/>
    <w:rsid w:val="77FF37FD"/>
    <w:rsid w:val="785B385D"/>
    <w:rsid w:val="786E7D78"/>
    <w:rsid w:val="78913571"/>
    <w:rsid w:val="78B4669B"/>
    <w:rsid w:val="78CD54A3"/>
    <w:rsid w:val="78F2118D"/>
    <w:rsid w:val="78FE481A"/>
    <w:rsid w:val="79442C5B"/>
    <w:rsid w:val="795B3113"/>
    <w:rsid w:val="799E6411"/>
    <w:rsid w:val="79D15922"/>
    <w:rsid w:val="79D37CCB"/>
    <w:rsid w:val="79DB7020"/>
    <w:rsid w:val="79F63C5C"/>
    <w:rsid w:val="7A4F7B0A"/>
    <w:rsid w:val="7A970FCF"/>
    <w:rsid w:val="7A9C0875"/>
    <w:rsid w:val="7AAE049A"/>
    <w:rsid w:val="7AB1578A"/>
    <w:rsid w:val="7B0A342A"/>
    <w:rsid w:val="7B6167B8"/>
    <w:rsid w:val="7B61697D"/>
    <w:rsid w:val="7BCB4BEA"/>
    <w:rsid w:val="7BCE6B3D"/>
    <w:rsid w:val="7BD52290"/>
    <w:rsid w:val="7BDF7C70"/>
    <w:rsid w:val="7BFFBD73"/>
    <w:rsid w:val="7C346BC6"/>
    <w:rsid w:val="7CA3E458"/>
    <w:rsid w:val="7CB24380"/>
    <w:rsid w:val="7CB47D2E"/>
    <w:rsid w:val="7CC540B3"/>
    <w:rsid w:val="7D2E7EAA"/>
    <w:rsid w:val="7D390946"/>
    <w:rsid w:val="7D45285A"/>
    <w:rsid w:val="7D5C6073"/>
    <w:rsid w:val="7D6E743A"/>
    <w:rsid w:val="7D8B0631"/>
    <w:rsid w:val="7DA965A5"/>
    <w:rsid w:val="7DBC6888"/>
    <w:rsid w:val="7DBD4D8A"/>
    <w:rsid w:val="7DC9403A"/>
    <w:rsid w:val="7DD338F9"/>
    <w:rsid w:val="7DE22A43"/>
    <w:rsid w:val="7DE95B7F"/>
    <w:rsid w:val="7DED5F44"/>
    <w:rsid w:val="7DF369FE"/>
    <w:rsid w:val="7DFDF368"/>
    <w:rsid w:val="7E180F00"/>
    <w:rsid w:val="7E410E7B"/>
    <w:rsid w:val="7E584D50"/>
    <w:rsid w:val="7E6913DD"/>
    <w:rsid w:val="7E93243A"/>
    <w:rsid w:val="7E99707F"/>
    <w:rsid w:val="7EAA17B2"/>
    <w:rsid w:val="7EDDDDB5"/>
    <w:rsid w:val="7EE3A88B"/>
    <w:rsid w:val="7EED9145"/>
    <w:rsid w:val="7EFAF087"/>
    <w:rsid w:val="7F0D50B3"/>
    <w:rsid w:val="7F1EC250"/>
    <w:rsid w:val="7F2F0896"/>
    <w:rsid w:val="7F512B3F"/>
    <w:rsid w:val="7F69C084"/>
    <w:rsid w:val="7F6E354E"/>
    <w:rsid w:val="7F7D58EC"/>
    <w:rsid w:val="7F7E0691"/>
    <w:rsid w:val="7F807551"/>
    <w:rsid w:val="7F9BE0C6"/>
    <w:rsid w:val="7FBCAEDB"/>
    <w:rsid w:val="7FED74AC"/>
    <w:rsid w:val="7FF60681"/>
    <w:rsid w:val="7FFB1B18"/>
    <w:rsid w:val="873F2367"/>
    <w:rsid w:val="8DFD69AD"/>
    <w:rsid w:val="8FDF8BC2"/>
    <w:rsid w:val="9A3F674E"/>
    <w:rsid w:val="9D4B5CFF"/>
    <w:rsid w:val="9DFBBF00"/>
    <w:rsid w:val="9EAE1C67"/>
    <w:rsid w:val="9F773D7D"/>
    <w:rsid w:val="A4323081"/>
    <w:rsid w:val="AD5F5AE9"/>
    <w:rsid w:val="AE2B0986"/>
    <w:rsid w:val="AFDBA861"/>
    <w:rsid w:val="B62F3C99"/>
    <w:rsid w:val="B7FDC13C"/>
    <w:rsid w:val="BA7B23C6"/>
    <w:rsid w:val="BBB6247D"/>
    <w:rsid w:val="BBEF7BA2"/>
    <w:rsid w:val="BCEEAE82"/>
    <w:rsid w:val="BE7F3965"/>
    <w:rsid w:val="BEDFCBD1"/>
    <w:rsid w:val="BF5FE9F9"/>
    <w:rsid w:val="BF79478A"/>
    <w:rsid w:val="C7B6FA17"/>
    <w:rsid w:val="CBFC8F54"/>
    <w:rsid w:val="CD3EDDE9"/>
    <w:rsid w:val="CFBED72A"/>
    <w:rsid w:val="CFFF7263"/>
    <w:rsid w:val="DBDF3325"/>
    <w:rsid w:val="DDF6CA05"/>
    <w:rsid w:val="DED7A8BE"/>
    <w:rsid w:val="DEFF079E"/>
    <w:rsid w:val="DF70D020"/>
    <w:rsid w:val="DFAA26FA"/>
    <w:rsid w:val="DFBB4AD2"/>
    <w:rsid w:val="DFEB4ADC"/>
    <w:rsid w:val="DFEFD79F"/>
    <w:rsid w:val="DFF7E9E8"/>
    <w:rsid w:val="DFFCCCAF"/>
    <w:rsid w:val="DFFFBF44"/>
    <w:rsid w:val="E0FF7D1F"/>
    <w:rsid w:val="E34FD4A1"/>
    <w:rsid w:val="E9F71EFB"/>
    <w:rsid w:val="EBF83A5D"/>
    <w:rsid w:val="ECAE8611"/>
    <w:rsid w:val="ECE5F9DE"/>
    <w:rsid w:val="ECEF1524"/>
    <w:rsid w:val="EDDEDF44"/>
    <w:rsid w:val="EDF722DF"/>
    <w:rsid w:val="EFC8D393"/>
    <w:rsid w:val="EFD4B135"/>
    <w:rsid w:val="EFEFCCC5"/>
    <w:rsid w:val="EFFE2EB0"/>
    <w:rsid w:val="F38D895D"/>
    <w:rsid w:val="F5FFC33A"/>
    <w:rsid w:val="F6BA26BB"/>
    <w:rsid w:val="F72FB778"/>
    <w:rsid w:val="F74F3FE6"/>
    <w:rsid w:val="F75FBD5B"/>
    <w:rsid w:val="F77E5F01"/>
    <w:rsid w:val="F78C192A"/>
    <w:rsid w:val="F7D76AD1"/>
    <w:rsid w:val="F7DF3C37"/>
    <w:rsid w:val="F7FF35EB"/>
    <w:rsid w:val="F7FFC45D"/>
    <w:rsid w:val="F9CF8CB2"/>
    <w:rsid w:val="FA5DA317"/>
    <w:rsid w:val="FA7A06FB"/>
    <w:rsid w:val="FAF41D82"/>
    <w:rsid w:val="FB3BD7B7"/>
    <w:rsid w:val="FB6E079A"/>
    <w:rsid w:val="FB7E255A"/>
    <w:rsid w:val="FBFD103C"/>
    <w:rsid w:val="FBFF1314"/>
    <w:rsid w:val="FC591E58"/>
    <w:rsid w:val="FCCD22E0"/>
    <w:rsid w:val="FD338641"/>
    <w:rsid w:val="FDABA8D4"/>
    <w:rsid w:val="FDD7A529"/>
    <w:rsid w:val="FDEA2A97"/>
    <w:rsid w:val="FDFDBD3D"/>
    <w:rsid w:val="FDFFF8E1"/>
    <w:rsid w:val="FE3F1D93"/>
    <w:rsid w:val="FE734873"/>
    <w:rsid w:val="FE73C908"/>
    <w:rsid w:val="FE7B7CB0"/>
    <w:rsid w:val="FEB82C5D"/>
    <w:rsid w:val="FEEF9E99"/>
    <w:rsid w:val="FEFB13F9"/>
    <w:rsid w:val="FF46A45C"/>
    <w:rsid w:val="FFDF7796"/>
    <w:rsid w:val="FFF765D3"/>
    <w:rsid w:val="FFF945AA"/>
    <w:rsid w:val="FFFEE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
    <w:qFormat/>
    <w:uiPriority w:val="0"/>
    <w:pPr>
      <w:widowControl w:val="0"/>
      <w:spacing w:line="640" w:lineRule="exact"/>
      <w:ind w:firstLine="883" w:firstLineChars="200"/>
      <w:jc w:val="both"/>
    </w:pPr>
    <w:rPr>
      <w:rFonts w:ascii="仿宋_GB2312" w:hAnsi="仿宋_GB2312" w:eastAsia="仿宋" w:cs="Times New Roman"/>
      <w:kern w:val="2"/>
      <w:sz w:val="36"/>
      <w:szCs w:val="32"/>
      <w:lang w:val="en-US" w:eastAsia="zh-CN" w:bidi="ar-SA"/>
    </w:rPr>
  </w:style>
  <w:style w:type="paragraph" w:styleId="3">
    <w:name w:val="heading 1"/>
    <w:basedOn w:val="1"/>
    <w:next w:val="1"/>
    <w:link w:val="18"/>
    <w:qFormat/>
    <w:uiPriority w:val="0"/>
    <w:pPr>
      <w:keepNext/>
      <w:keepLines/>
      <w:spacing w:before="340" w:after="330" w:line="579" w:lineRule="auto"/>
      <w:ind w:firstLine="0" w:firstLineChars="0"/>
      <w:jc w:val="center"/>
      <w:outlineLvl w:val="0"/>
    </w:pPr>
    <w:rPr>
      <w:rFonts w:ascii="Times New Roman" w:hAnsi="Times New Roman" w:eastAsia="华文中宋"/>
      <w:b/>
      <w:bCs/>
      <w:snapToGrid w:val="0"/>
      <w:spacing w:val="20"/>
      <w:kern w:val="44"/>
      <w:sz w:val="44"/>
      <w:szCs w:val="44"/>
    </w:rPr>
  </w:style>
  <w:style w:type="paragraph" w:styleId="4">
    <w:name w:val="heading 2"/>
    <w:basedOn w:val="1"/>
    <w:next w:val="1"/>
    <w:qFormat/>
    <w:uiPriority w:val="0"/>
    <w:pPr>
      <w:keepNext/>
      <w:keepLines/>
      <w:spacing w:line="640" w:lineRule="exact"/>
      <w:ind w:firstLine="883" w:firstLineChars="200"/>
      <w:outlineLvl w:val="1"/>
    </w:pPr>
    <w:rPr>
      <w:rFonts w:ascii="Arial" w:hAnsi="Arial" w:eastAsia="华文中宋"/>
      <w:b/>
      <w:bCs/>
    </w:rPr>
  </w:style>
  <w:style w:type="paragraph" w:styleId="5">
    <w:name w:val="heading 3"/>
    <w:basedOn w:val="1"/>
    <w:next w:val="1"/>
    <w:unhideWhenUsed/>
    <w:qFormat/>
    <w:uiPriority w:val="0"/>
    <w:pPr>
      <w:keepNext/>
      <w:keepLines/>
      <w:spacing w:beforeLines="0" w:beforeAutospacing="0" w:afterLines="0" w:afterAutospacing="0" w:line="360" w:lineRule="auto"/>
      <w:outlineLvl w:val="2"/>
    </w:pPr>
    <w:rPr>
      <w:rFonts w:ascii="仿宋_GB2312" w:hAnsi="仿宋_GB2312" w:eastAsia="华文中宋"/>
      <w:b/>
      <w:sz w:val="30"/>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仿宋_GB2312" w:cs="宋体"/>
      <w:color w:val="000000"/>
      <w:sz w:val="24"/>
      <w:szCs w:val="24"/>
      <w:lang w:val="en-US" w:eastAsia="zh-CN" w:bidi="ar-SA"/>
    </w:rPr>
  </w:style>
  <w:style w:type="paragraph" w:styleId="6">
    <w:name w:val="annotation text"/>
    <w:basedOn w:val="1"/>
    <w:qFormat/>
    <w:uiPriority w:val="0"/>
    <w:pPr>
      <w:jc w:val="left"/>
    </w:pPr>
  </w:style>
  <w:style w:type="paragraph" w:styleId="7">
    <w:name w:val="Body Text"/>
    <w:basedOn w:val="1"/>
    <w:unhideWhenUsed/>
    <w:qFormat/>
    <w:uiPriority w:val="1"/>
    <w:pPr>
      <w:spacing w:beforeLines="0" w:afterLines="0"/>
      <w:ind w:left="100"/>
    </w:pPr>
    <w:rPr>
      <w:rFonts w:hint="eastAsia" w:ascii="宋体" w:hAnsi="宋体" w:eastAsia="宋体"/>
      <w:sz w:val="28"/>
    </w:rPr>
  </w:style>
  <w:style w:type="paragraph" w:styleId="8">
    <w:name w:val="Body Text Indent"/>
    <w:basedOn w:val="1"/>
    <w:qFormat/>
    <w:uiPriority w:val="0"/>
    <w:pPr>
      <w:spacing w:line="400" w:lineRule="exact"/>
      <w:ind w:firstLine="420" w:firstLineChars="200"/>
    </w:pPr>
    <w:rPr>
      <w:bCs/>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nhideWhenUsed/>
    <w:qFormat/>
    <w:uiPriority w:val="39"/>
  </w:style>
  <w:style w:type="paragraph" w:styleId="12">
    <w:name w:val="toc 2"/>
    <w:basedOn w:val="1"/>
    <w:next w:val="1"/>
    <w:unhideWhenUsed/>
    <w:qFormat/>
    <w:uiPriority w:val="39"/>
    <w:pPr>
      <w:ind w:left="420" w:leftChars="200"/>
    </w:pPr>
  </w:style>
  <w:style w:type="paragraph" w:styleId="13">
    <w:name w:val="Body Text First Indent 2"/>
    <w:basedOn w:val="8"/>
    <w:qFormat/>
    <w:uiPriority w:val="0"/>
    <w:pPr>
      <w:tabs>
        <w:tab w:val="left" w:pos="6004"/>
      </w:tabs>
    </w:pPr>
  </w:style>
  <w:style w:type="character" w:styleId="16">
    <w:name w:val="Hyperlink"/>
    <w:unhideWhenUsed/>
    <w:qFormat/>
    <w:uiPriority w:val="99"/>
    <w:rPr>
      <w:color w:val="0563C1"/>
      <w:u w:val="single"/>
    </w:rPr>
  </w:style>
  <w:style w:type="paragraph" w:customStyle="1" w:styleId="17">
    <w:name w:val="Table Paragraph"/>
    <w:basedOn w:val="1"/>
    <w:unhideWhenUsed/>
    <w:qFormat/>
    <w:uiPriority w:val="1"/>
    <w:rPr>
      <w:rFonts w:hint="default"/>
      <w:sz w:val="24"/>
    </w:rPr>
  </w:style>
  <w:style w:type="character" w:customStyle="1" w:styleId="18">
    <w:name w:val="标题 1 Char"/>
    <w:link w:val="3"/>
    <w:qFormat/>
    <w:uiPriority w:val="0"/>
    <w:rPr>
      <w:rFonts w:ascii="Times New Roman" w:hAnsi="Times New Roman" w:eastAsia="华文中宋"/>
      <w:b/>
      <w:bCs/>
      <w:snapToGrid w:val="0"/>
      <w:spacing w:val="20"/>
      <w:kern w:val="44"/>
      <w:sz w:val="44"/>
      <w:szCs w:val="44"/>
    </w:rPr>
  </w:style>
  <w:style w:type="character" w:customStyle="1" w:styleId="19">
    <w:name w:val="NormalCharacter"/>
    <w:link w:val="1"/>
    <w:qFormat/>
    <w:uiPriority w:val="0"/>
    <w:rPr>
      <w:rFonts w:ascii="仿宋_GB2312" w:hAnsi="仿宋_GB2312" w:eastAsia="仿宋" w:cs="Times New Roman"/>
      <w:kern w:val="2"/>
      <w:sz w:val="36"/>
      <w:szCs w:val="32"/>
      <w:lang w:val="en-US" w:eastAsia="zh-CN" w:bidi="ar-SA"/>
    </w:rPr>
  </w:style>
  <w:style w:type="paragraph" w:styleId="20">
    <w:name w:val="List Paragraph"/>
    <w:basedOn w:val="1"/>
    <w:qFormat/>
    <w:uiPriority w:val="99"/>
    <w:pPr>
      <w:ind w:firstLine="420" w:firstLineChars="200"/>
    </w:p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 w:type="paragraph" w:customStyle="1" w:styleId="22">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116ecd0-0d9c-49c7-a433-122751d771cb}"/>
        <w:style w:val=""/>
        <w:category>
          <w:name w:val="常规"/>
          <w:gallery w:val="placeholder"/>
        </w:category>
        <w:types>
          <w:type w:val="bbPlcHdr"/>
        </w:types>
        <w:behaviors>
          <w:behavior w:val="content"/>
        </w:behaviors>
        <w:description w:val=""/>
        <w:guid w:val="{3116ecd0-0d9c-49c7-a433-122751d771cb}"/>
      </w:docPartPr>
      <w:docPartBody>
        <w:p>
          <w:r>
            <w:rPr>
              <w:color w:val="808080"/>
            </w:rPr>
            <w:t>单击此处输入文字。</w:t>
          </w:r>
        </w:p>
      </w:docPartBody>
    </w:docPart>
    <w:docPart>
      <w:docPartPr>
        <w:name w:val="{36e58b5e-0298-49c2-8ca8-c778c0c392d7}"/>
        <w:style w:val=""/>
        <w:category>
          <w:name w:val="常规"/>
          <w:gallery w:val="placeholder"/>
        </w:category>
        <w:types>
          <w:type w:val="bbPlcHdr"/>
        </w:types>
        <w:behaviors>
          <w:behavior w:val="content"/>
        </w:behaviors>
        <w:description w:val=""/>
        <w:guid w:val="{36e58b5e-0298-49c2-8ca8-c778c0c392d7}"/>
      </w:docPartPr>
      <w:docPartBody>
        <w:p>
          <w:r>
            <w:rPr>
              <w:color w:val="808080"/>
            </w:rPr>
            <w:t>单击此处输入文字。</w:t>
          </w:r>
        </w:p>
      </w:docPartBody>
    </w:docPart>
    <w:docPart>
      <w:docPartPr>
        <w:name w:val="{ce623ba7-fc3c-41e4-a50e-767cbd993170}"/>
        <w:style w:val=""/>
        <w:category>
          <w:name w:val="常规"/>
          <w:gallery w:val="placeholder"/>
        </w:category>
        <w:types>
          <w:type w:val="bbPlcHdr"/>
        </w:types>
        <w:behaviors>
          <w:behavior w:val="content"/>
        </w:behaviors>
        <w:description w:val=""/>
        <w:guid w:val="{ce623ba7-fc3c-41e4-a50e-767cbd993170}"/>
      </w:docPartPr>
      <w:docPartBody>
        <w:p>
          <w:r>
            <w:rPr>
              <w:color w:val="808080"/>
            </w:rPr>
            <w:t>单击此处输入文字。</w:t>
          </w:r>
        </w:p>
      </w:docPartBody>
    </w:docPart>
    <w:docPart>
      <w:docPartPr>
        <w:name w:val="{399df449-92c6-4043-aab3-de7841f87b4d}"/>
        <w:style w:val=""/>
        <w:category>
          <w:name w:val="常规"/>
          <w:gallery w:val="placeholder"/>
        </w:category>
        <w:types>
          <w:type w:val="bbPlcHdr"/>
        </w:types>
        <w:behaviors>
          <w:behavior w:val="content"/>
        </w:behaviors>
        <w:description w:val=""/>
        <w:guid w:val="{399df449-92c6-4043-aab3-de7841f87b4d}"/>
      </w:docPartPr>
      <w:docPartBody>
        <w:p>
          <w:r>
            <w:rPr>
              <w:color w:val="808080"/>
            </w:rPr>
            <w:t>单击此处输入文字。</w:t>
          </w:r>
        </w:p>
      </w:docPartBody>
    </w:docPart>
    <w:docPart>
      <w:docPartPr>
        <w:name w:val="{db3dbbad-350a-4020-8f83-c9446a7b1fd7}"/>
        <w:style w:val=""/>
        <w:category>
          <w:name w:val="常规"/>
          <w:gallery w:val="placeholder"/>
        </w:category>
        <w:types>
          <w:type w:val="bbPlcHdr"/>
        </w:types>
        <w:behaviors>
          <w:behavior w:val="content"/>
        </w:behaviors>
        <w:description w:val=""/>
        <w:guid w:val="{db3dbbad-350a-4020-8f83-c9446a7b1fd7}"/>
      </w:docPartPr>
      <w:docPartBody>
        <w:p>
          <w:r>
            <w:rPr>
              <w:color w:val="808080"/>
            </w:rPr>
            <w:t>单击此处输入文字。</w:t>
          </w:r>
        </w:p>
      </w:docPartBody>
    </w:docPart>
    <w:docPart>
      <w:docPartPr>
        <w:name w:val="{12b5b91e-15b3-447d-a7b1-e4d2c0e42c24}"/>
        <w:style w:val=""/>
        <w:category>
          <w:name w:val="常规"/>
          <w:gallery w:val="placeholder"/>
        </w:category>
        <w:types>
          <w:type w:val="bbPlcHdr"/>
        </w:types>
        <w:behaviors>
          <w:behavior w:val="content"/>
        </w:behaviors>
        <w:description w:val=""/>
        <w:guid w:val="{12b5b91e-15b3-447d-a7b1-e4d2c0e42c24}"/>
      </w:docPartPr>
      <w:docPartBody>
        <w:p>
          <w:r>
            <w:rPr>
              <w:color w:val="808080"/>
            </w:rPr>
            <w:t>单击此处输入文字。</w:t>
          </w:r>
        </w:p>
      </w:docPartBody>
    </w:docPart>
    <w:docPart>
      <w:docPartPr>
        <w:name w:val="{a1973271-ec76-433d-ab37-a5f65252144b}"/>
        <w:style w:val=""/>
        <w:category>
          <w:name w:val="常规"/>
          <w:gallery w:val="placeholder"/>
        </w:category>
        <w:types>
          <w:type w:val="bbPlcHdr"/>
        </w:types>
        <w:behaviors>
          <w:behavior w:val="content"/>
        </w:behaviors>
        <w:description w:val=""/>
        <w:guid w:val="{a1973271-ec76-433d-ab37-a5f65252144b}"/>
      </w:docPartPr>
      <w:docPartBody>
        <w:p>
          <w:r>
            <w:rPr>
              <w:color w:val="808080"/>
            </w:rPr>
            <w:t>单击此处输入文字。</w:t>
          </w:r>
        </w:p>
      </w:docPartBody>
    </w:docPart>
    <w:docPart>
      <w:docPartPr>
        <w:name w:val="{e53c99aa-847d-4726-bc0d-af9cd4abd1d5}"/>
        <w:style w:val=""/>
        <w:category>
          <w:name w:val="常规"/>
          <w:gallery w:val="placeholder"/>
        </w:category>
        <w:types>
          <w:type w:val="bbPlcHdr"/>
        </w:types>
        <w:behaviors>
          <w:behavior w:val="content"/>
        </w:behaviors>
        <w:description w:val=""/>
        <w:guid w:val="{e53c99aa-847d-4726-bc0d-af9cd4abd1d5}"/>
      </w:docPartPr>
      <w:docPartBody>
        <w:p>
          <w:r>
            <w:rPr>
              <w:color w:val="808080"/>
            </w:rPr>
            <w:t>单击此处输入文字。</w:t>
          </w:r>
        </w:p>
      </w:docPartBody>
    </w:docPart>
    <w:docPart>
      <w:docPartPr>
        <w:name w:val="{c917c454-dca0-41d5-a3d7-e4933db056a9}"/>
        <w:style w:val=""/>
        <w:category>
          <w:name w:val="常规"/>
          <w:gallery w:val="placeholder"/>
        </w:category>
        <w:types>
          <w:type w:val="bbPlcHdr"/>
        </w:types>
        <w:behaviors>
          <w:behavior w:val="content"/>
        </w:behaviors>
        <w:description w:val=""/>
        <w:guid w:val="{c917c454-dca0-41d5-a3d7-e4933db056a9}"/>
      </w:docPartPr>
      <w:docPartBody>
        <w:p>
          <w:r>
            <w:rPr>
              <w:color w:val="808080"/>
            </w:rPr>
            <w:t>单击此处输入文字。</w:t>
          </w:r>
        </w:p>
      </w:docPartBody>
    </w:docPart>
    <w:docPart>
      <w:docPartPr>
        <w:name w:val="{4e02583e-e137-4a9b-85b2-9a2822e06499}"/>
        <w:style w:val=""/>
        <w:category>
          <w:name w:val="常规"/>
          <w:gallery w:val="placeholder"/>
        </w:category>
        <w:types>
          <w:type w:val="bbPlcHdr"/>
        </w:types>
        <w:behaviors>
          <w:behavior w:val="content"/>
        </w:behaviors>
        <w:description w:val=""/>
        <w:guid w:val="{4e02583e-e137-4a9b-85b2-9a2822e06499}"/>
      </w:docPartPr>
      <w:docPartBody>
        <w:p>
          <w:r>
            <w:rPr>
              <w:color w:val="808080"/>
            </w:rPr>
            <w:t>单击此处输入文字。</w:t>
          </w:r>
        </w:p>
      </w:docPartBody>
    </w:docPart>
    <w:docPart>
      <w:docPartPr>
        <w:name w:val="{20f546db-7c3f-42a1-af7c-10937b2d1a94}"/>
        <w:style w:val=""/>
        <w:category>
          <w:name w:val="常规"/>
          <w:gallery w:val="placeholder"/>
        </w:category>
        <w:types>
          <w:type w:val="bbPlcHdr"/>
        </w:types>
        <w:behaviors>
          <w:behavior w:val="content"/>
        </w:behaviors>
        <w:description w:val=""/>
        <w:guid w:val="{20f546db-7c3f-42a1-af7c-10937b2d1a94}"/>
      </w:docPartPr>
      <w:docPartBody>
        <w:p>
          <w:r>
            <w:rPr>
              <w:color w:val="808080"/>
            </w:rPr>
            <w:t>单击此处输入文字。</w:t>
          </w:r>
        </w:p>
      </w:docPartBody>
    </w:docPart>
    <w:docPart>
      <w:docPartPr>
        <w:name w:val="{d723e99f-5d7d-4b51-845b-f55b50f07c53}"/>
        <w:style w:val=""/>
        <w:category>
          <w:name w:val="常规"/>
          <w:gallery w:val="placeholder"/>
        </w:category>
        <w:types>
          <w:type w:val="bbPlcHdr"/>
        </w:types>
        <w:behaviors>
          <w:behavior w:val="content"/>
        </w:behaviors>
        <w:description w:val=""/>
        <w:guid w:val="{d723e99f-5d7d-4b51-845b-f55b50f07c53}"/>
      </w:docPartPr>
      <w:docPartBody>
        <w:p>
          <w:r>
            <w:rPr>
              <w:color w:val="808080"/>
            </w:rPr>
            <w:t>单击此处输入文字。</w:t>
          </w:r>
        </w:p>
      </w:docPartBody>
    </w:docPart>
    <w:docPart>
      <w:docPartPr>
        <w:name w:val="{91505cd6-32cc-4842-9337-7bfd0471108e}"/>
        <w:style w:val=""/>
        <w:category>
          <w:name w:val="常规"/>
          <w:gallery w:val="placeholder"/>
        </w:category>
        <w:types>
          <w:type w:val="bbPlcHdr"/>
        </w:types>
        <w:behaviors>
          <w:behavior w:val="content"/>
        </w:behaviors>
        <w:description w:val=""/>
        <w:guid w:val="{91505cd6-32cc-4842-9337-7bfd0471108e}"/>
      </w:docPartPr>
      <w:docPartBody>
        <w:p>
          <w:r>
            <w:rPr>
              <w:color w:val="808080"/>
            </w:rPr>
            <w:t>单击此处输入文字。</w:t>
          </w:r>
        </w:p>
      </w:docPartBody>
    </w:docPart>
    <w:docPart>
      <w:docPartPr>
        <w:name w:val="{aef37e98-f5a5-408d-8d2f-a905a9ad39e8}"/>
        <w:style w:val=""/>
        <w:category>
          <w:name w:val="常规"/>
          <w:gallery w:val="placeholder"/>
        </w:category>
        <w:types>
          <w:type w:val="bbPlcHdr"/>
        </w:types>
        <w:behaviors>
          <w:behavior w:val="content"/>
        </w:behaviors>
        <w:description w:val=""/>
        <w:guid w:val="{aef37e98-f5a5-408d-8d2f-a905a9ad39e8}"/>
      </w:docPartPr>
      <w:docPartBody>
        <w:p>
          <w:r>
            <w:rPr>
              <w:color w:val="808080"/>
            </w:rPr>
            <w:t>单击此处输入文字。</w:t>
          </w:r>
        </w:p>
      </w:docPartBody>
    </w:docPart>
    <w:docPart>
      <w:docPartPr>
        <w:name w:val="{fe0c9cdb-db2d-4e10-924b-ab986269e0d9}"/>
        <w:style w:val=""/>
        <w:category>
          <w:name w:val="常规"/>
          <w:gallery w:val="placeholder"/>
        </w:category>
        <w:types>
          <w:type w:val="bbPlcHdr"/>
        </w:types>
        <w:behaviors>
          <w:behavior w:val="content"/>
        </w:behaviors>
        <w:description w:val=""/>
        <w:guid w:val="{fe0c9cdb-db2d-4e10-924b-ab986269e0d9}"/>
      </w:docPartPr>
      <w:docPartBody>
        <w:p>
          <w:r>
            <w:rPr>
              <w:color w:val="808080"/>
            </w:rPr>
            <w:t>单击此处输入文字。</w:t>
          </w:r>
        </w:p>
      </w:docPartBody>
    </w:docPart>
    <w:docPart>
      <w:docPartPr>
        <w:name w:val="{02492552-970b-44af-9908-458232bb0616}"/>
        <w:style w:val=""/>
        <w:category>
          <w:name w:val="常规"/>
          <w:gallery w:val="placeholder"/>
        </w:category>
        <w:types>
          <w:type w:val="bbPlcHdr"/>
        </w:types>
        <w:behaviors>
          <w:behavior w:val="content"/>
        </w:behaviors>
        <w:description w:val=""/>
        <w:guid w:val="{02492552-970b-44af-9908-458232bb0616}"/>
      </w:docPartPr>
      <w:docPartBody>
        <w:p>
          <w:r>
            <w:rPr>
              <w:color w:val="808080"/>
            </w:rPr>
            <w:t>单击此处输入文字。</w:t>
          </w:r>
        </w:p>
      </w:docPartBody>
    </w:docPart>
    <w:docPart>
      <w:docPartPr>
        <w:name w:val="{bd986969-8cd6-4ca3-bd19-7b03e828b649}"/>
        <w:style w:val=""/>
        <w:category>
          <w:name w:val="常规"/>
          <w:gallery w:val="placeholder"/>
        </w:category>
        <w:types>
          <w:type w:val="bbPlcHdr"/>
        </w:types>
        <w:behaviors>
          <w:behavior w:val="content"/>
        </w:behaviors>
        <w:description w:val=""/>
        <w:guid w:val="{bd986969-8cd6-4ca3-bd19-7b03e828b649}"/>
      </w:docPartPr>
      <w:docPartBody>
        <w:p>
          <w:r>
            <w:rPr>
              <w:color w:val="808080"/>
            </w:rPr>
            <w:t>单击此处输入文字。</w:t>
          </w:r>
        </w:p>
      </w:docPartBody>
    </w:docPart>
    <w:docPart>
      <w:docPartPr>
        <w:name w:val="{d34231a7-3474-447f-b348-68e87e34cfcc}"/>
        <w:style w:val=""/>
        <w:category>
          <w:name w:val="常规"/>
          <w:gallery w:val="placeholder"/>
        </w:category>
        <w:types>
          <w:type w:val="bbPlcHdr"/>
        </w:types>
        <w:behaviors>
          <w:behavior w:val="content"/>
        </w:behaviors>
        <w:description w:val=""/>
        <w:guid w:val="{d34231a7-3474-447f-b348-68e87e34cfcc}"/>
      </w:docPartPr>
      <w:docPartBody>
        <w:p>
          <w:r>
            <w:rPr>
              <w:color w:val="808080"/>
            </w:rPr>
            <w:t>单击此处输入文字。</w:t>
          </w:r>
        </w:p>
      </w:docPartBody>
    </w:docPart>
    <w:docPart>
      <w:docPartPr>
        <w:name w:val="{22997736-7895-473f-9535-4f67e5ad9b39}"/>
        <w:style w:val=""/>
        <w:category>
          <w:name w:val="常规"/>
          <w:gallery w:val="placeholder"/>
        </w:category>
        <w:types>
          <w:type w:val="bbPlcHdr"/>
        </w:types>
        <w:behaviors>
          <w:behavior w:val="content"/>
        </w:behaviors>
        <w:description w:val=""/>
        <w:guid w:val="{22997736-7895-473f-9535-4f67e5ad9b39}"/>
      </w:docPartPr>
      <w:docPartBody>
        <w:p>
          <w:r>
            <w:rPr>
              <w:color w:val="808080"/>
            </w:rPr>
            <w:t>单击此处输入文字。</w:t>
          </w:r>
        </w:p>
      </w:docPartBody>
    </w:docPart>
    <w:docPart>
      <w:docPartPr>
        <w:name w:val="{5f58b073-17ab-493e-a8d5-d6d91b63a800}"/>
        <w:style w:val=""/>
        <w:category>
          <w:name w:val="常规"/>
          <w:gallery w:val="placeholder"/>
        </w:category>
        <w:types>
          <w:type w:val="bbPlcHdr"/>
        </w:types>
        <w:behaviors>
          <w:behavior w:val="content"/>
        </w:behaviors>
        <w:description w:val=""/>
        <w:guid w:val="{5f58b073-17ab-493e-a8d5-d6d91b63a800}"/>
      </w:docPartPr>
      <w:docPartBody>
        <w:p>
          <w:r>
            <w:rPr>
              <w:color w:val="808080"/>
            </w:rPr>
            <w:t>单击此处输入文字。</w:t>
          </w:r>
        </w:p>
      </w:docPartBody>
    </w:docPart>
    <w:docPart>
      <w:docPartPr>
        <w:name w:val="{5c7949a6-7d23-46b5-a1ae-d38a7edd11e0}"/>
        <w:style w:val=""/>
        <w:category>
          <w:name w:val="常规"/>
          <w:gallery w:val="placeholder"/>
        </w:category>
        <w:types>
          <w:type w:val="bbPlcHdr"/>
        </w:types>
        <w:behaviors>
          <w:behavior w:val="content"/>
        </w:behaviors>
        <w:description w:val=""/>
        <w:guid w:val="{5c7949a6-7d23-46b5-a1ae-d38a7edd11e0}"/>
      </w:docPartPr>
      <w:docPartBody>
        <w:p>
          <w:r>
            <w:rPr>
              <w:color w:val="808080"/>
            </w:rPr>
            <w:t>单击此处输入文字。</w:t>
          </w:r>
        </w:p>
      </w:docPartBody>
    </w:docPart>
    <w:docPart>
      <w:docPartPr>
        <w:name w:val="{5b755af3-d681-43d0-9b96-0bc55f0025c8}"/>
        <w:style w:val=""/>
        <w:category>
          <w:name w:val="常规"/>
          <w:gallery w:val="placeholder"/>
        </w:category>
        <w:types>
          <w:type w:val="bbPlcHdr"/>
        </w:types>
        <w:behaviors>
          <w:behavior w:val="content"/>
        </w:behaviors>
        <w:description w:val=""/>
        <w:guid w:val="{5b755af3-d681-43d0-9b96-0bc55f0025c8}"/>
      </w:docPartPr>
      <w:docPartBody>
        <w:p>
          <w:r>
            <w:rPr>
              <w:color w:val="808080"/>
            </w:rPr>
            <w:t>单击此处输入文字。</w:t>
          </w:r>
        </w:p>
      </w:docPartBody>
    </w:docPart>
    <w:docPart>
      <w:docPartPr>
        <w:name w:val="{309dee43-f5ed-45a4-8770-a50ef62e3b05}"/>
        <w:style w:val=""/>
        <w:category>
          <w:name w:val="常规"/>
          <w:gallery w:val="placeholder"/>
        </w:category>
        <w:types>
          <w:type w:val="bbPlcHdr"/>
        </w:types>
        <w:behaviors>
          <w:behavior w:val="content"/>
        </w:behaviors>
        <w:description w:val=""/>
        <w:guid w:val="{309dee43-f5ed-45a4-8770-a50ef62e3b05}"/>
      </w:docPartPr>
      <w:docPartBody>
        <w:p>
          <w:r>
            <w:rPr>
              <w:color w:val="808080"/>
            </w:rPr>
            <w:t>单击此处输入文字。</w:t>
          </w:r>
        </w:p>
      </w:docPartBody>
    </w:docPart>
    <w:docPart>
      <w:docPartPr>
        <w:name w:val="{c5af1ee7-47b8-4535-ad28-59e2a2cb2b9d}"/>
        <w:style w:val=""/>
        <w:category>
          <w:name w:val="常规"/>
          <w:gallery w:val="placeholder"/>
        </w:category>
        <w:types>
          <w:type w:val="bbPlcHdr"/>
        </w:types>
        <w:behaviors>
          <w:behavior w:val="content"/>
        </w:behaviors>
        <w:description w:val=""/>
        <w:guid w:val="{c5af1ee7-47b8-4535-ad28-59e2a2cb2b9d}"/>
      </w:docPartPr>
      <w:docPartBody>
        <w:p>
          <w:r>
            <w:rPr>
              <w:color w:val="808080"/>
            </w:rPr>
            <w:t>单击此处输入文字。</w:t>
          </w:r>
        </w:p>
      </w:docPartBody>
    </w:docPart>
    <w:docPart>
      <w:docPartPr>
        <w:name w:val="{ec84934c-9bcf-451c-ac4e-1f4928876b91}"/>
        <w:style w:val=""/>
        <w:category>
          <w:name w:val="常规"/>
          <w:gallery w:val="placeholder"/>
        </w:category>
        <w:types>
          <w:type w:val="bbPlcHdr"/>
        </w:types>
        <w:behaviors>
          <w:behavior w:val="content"/>
        </w:behaviors>
        <w:description w:val=""/>
        <w:guid w:val="{ec84934c-9bcf-451c-ac4e-1f4928876b91}"/>
      </w:docPartPr>
      <w:docPartBody>
        <w:p>
          <w:r>
            <w:rPr>
              <w:color w:val="808080"/>
            </w:rPr>
            <w:t>单击此处输入文字。</w:t>
          </w:r>
        </w:p>
      </w:docPartBody>
    </w:docPart>
    <w:docPart>
      <w:docPartPr>
        <w:name w:val="{f6ee315c-4088-4e39-8028-d8640e4ae849}"/>
        <w:style w:val=""/>
        <w:category>
          <w:name w:val="常规"/>
          <w:gallery w:val="placeholder"/>
        </w:category>
        <w:types>
          <w:type w:val="bbPlcHdr"/>
        </w:types>
        <w:behaviors>
          <w:behavior w:val="content"/>
        </w:behaviors>
        <w:description w:val=""/>
        <w:guid w:val="{f6ee315c-4088-4e39-8028-d8640e4ae849}"/>
      </w:docPartPr>
      <w:docPartBody>
        <w:p>
          <w:r>
            <w:rPr>
              <w:color w:val="808080"/>
            </w:rPr>
            <w:t>单击此处输入文字。</w:t>
          </w:r>
        </w:p>
      </w:docPartBody>
    </w:docPart>
    <w:docPart>
      <w:docPartPr>
        <w:name w:val="{b1ca1ac4-078a-4f2f-a20f-625f1b3af472}"/>
        <w:style w:val=""/>
        <w:category>
          <w:name w:val="常规"/>
          <w:gallery w:val="placeholder"/>
        </w:category>
        <w:types>
          <w:type w:val="bbPlcHdr"/>
        </w:types>
        <w:behaviors>
          <w:behavior w:val="content"/>
        </w:behaviors>
        <w:description w:val=""/>
        <w:guid w:val="{b1ca1ac4-078a-4f2f-a20f-625f1b3af472}"/>
      </w:docPartPr>
      <w:docPartBody>
        <w:p>
          <w:r>
            <w:rPr>
              <w:color w:val="808080"/>
            </w:rPr>
            <w:t>单击此处输入文字。</w:t>
          </w:r>
        </w:p>
      </w:docPartBody>
    </w:docPart>
    <w:docPart>
      <w:docPartPr>
        <w:name w:val="{308bad46-5e47-4b36-a2b6-d1d500686a1f}"/>
        <w:style w:val=""/>
        <w:category>
          <w:name w:val="常规"/>
          <w:gallery w:val="placeholder"/>
        </w:category>
        <w:types>
          <w:type w:val="bbPlcHdr"/>
        </w:types>
        <w:behaviors>
          <w:behavior w:val="content"/>
        </w:behaviors>
        <w:description w:val=""/>
        <w:guid w:val="{308bad46-5e47-4b36-a2b6-d1d500686a1f}"/>
      </w:docPartPr>
      <w:docPartBody>
        <w:p>
          <w:r>
            <w:rPr>
              <w:color w:val="808080"/>
            </w:rPr>
            <w:t>单击此处输入文字。</w:t>
          </w:r>
        </w:p>
      </w:docPartBody>
    </w:docPart>
    <w:docPart>
      <w:docPartPr>
        <w:name w:val="{789bf196-7c06-44cc-b8fb-a27cbfd7fd3e}"/>
        <w:style w:val=""/>
        <w:category>
          <w:name w:val="常规"/>
          <w:gallery w:val="placeholder"/>
        </w:category>
        <w:types>
          <w:type w:val="bbPlcHdr"/>
        </w:types>
        <w:behaviors>
          <w:behavior w:val="content"/>
        </w:behaviors>
        <w:description w:val=""/>
        <w:guid w:val="{789bf196-7c06-44cc-b8fb-a27cbfd7fd3e}"/>
      </w:docPartPr>
      <w:docPartBody>
        <w:p>
          <w:r>
            <w:rPr>
              <w:color w:val="808080"/>
            </w:rPr>
            <w:t>单击此处输入文字。</w:t>
          </w:r>
        </w:p>
      </w:docPartBody>
    </w:docPart>
    <w:docPart>
      <w:docPartPr>
        <w:name w:val="{84d73d07-e119-443c-a223-d5ccd781ae73}"/>
        <w:style w:val=""/>
        <w:category>
          <w:name w:val="常规"/>
          <w:gallery w:val="placeholder"/>
        </w:category>
        <w:types>
          <w:type w:val="bbPlcHdr"/>
        </w:types>
        <w:behaviors>
          <w:behavior w:val="content"/>
        </w:behaviors>
        <w:description w:val=""/>
        <w:guid w:val="{84d73d07-e119-443c-a223-d5ccd781ae73}"/>
      </w:docPartPr>
      <w:docPartBody>
        <w:p>
          <w:r>
            <w:rPr>
              <w:color w:val="808080"/>
            </w:rPr>
            <w:t>单击此处输入文字。</w:t>
          </w:r>
        </w:p>
      </w:docPartBody>
    </w:docPart>
    <w:docPart>
      <w:docPartPr>
        <w:name w:val="{c6252f5a-8231-4e25-a518-c7b2c3fa40b6}"/>
        <w:style w:val=""/>
        <w:category>
          <w:name w:val="常规"/>
          <w:gallery w:val="placeholder"/>
        </w:category>
        <w:types>
          <w:type w:val="bbPlcHdr"/>
        </w:types>
        <w:behaviors>
          <w:behavior w:val="content"/>
        </w:behaviors>
        <w:description w:val=""/>
        <w:guid w:val="{c6252f5a-8231-4e25-a518-c7b2c3fa40b6}"/>
      </w:docPartPr>
      <w:docPartBody>
        <w:p>
          <w:r>
            <w:rPr>
              <w:color w:val="808080"/>
            </w:rPr>
            <w:t>单击此处输入文字。</w:t>
          </w:r>
        </w:p>
      </w:docPartBody>
    </w:docPart>
    <w:docPart>
      <w:docPartPr>
        <w:name w:val="{cfa18cd0-7f12-43ea-b1fb-d4dbe248e190}"/>
        <w:style w:val=""/>
        <w:category>
          <w:name w:val="常规"/>
          <w:gallery w:val="placeholder"/>
        </w:category>
        <w:types>
          <w:type w:val="bbPlcHdr"/>
        </w:types>
        <w:behaviors>
          <w:behavior w:val="content"/>
        </w:behaviors>
        <w:description w:val=""/>
        <w:guid w:val="{cfa18cd0-7f12-43ea-b1fb-d4dbe248e190}"/>
      </w:docPartPr>
      <w:docPartBody>
        <w:p>
          <w:r>
            <w:rPr>
              <w:color w:val="808080"/>
            </w:rPr>
            <w:t>单击此处输入文字。</w:t>
          </w:r>
        </w:p>
      </w:docPartBody>
    </w:docPart>
    <w:docPart>
      <w:docPartPr>
        <w:name w:val="{30bf286f-ffe0-44f4-a339-b3a36b7f312e}"/>
        <w:style w:val=""/>
        <w:category>
          <w:name w:val="常规"/>
          <w:gallery w:val="placeholder"/>
        </w:category>
        <w:types>
          <w:type w:val="bbPlcHdr"/>
        </w:types>
        <w:behaviors>
          <w:behavior w:val="content"/>
        </w:behaviors>
        <w:description w:val=""/>
        <w:guid w:val="{30bf286f-ffe0-44f4-a339-b3a36b7f312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23093</Words>
  <Characters>23780</Characters>
  <Lines>0</Lines>
  <Paragraphs>0</Paragraphs>
  <TotalTime>12</TotalTime>
  <ScaleCrop>false</ScaleCrop>
  <LinksUpToDate>false</LinksUpToDate>
  <CharactersWithSpaces>23856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2022-05-25T00:53:00Z</dcterms:created>
  <dc:creator>Administrator</dc:creator>
  <cp:lastModifiedBy>sugon</cp:lastModifiedBy>
  <dcterms:modified xsi:type="dcterms:W3CDTF">2022-09-27T17:36:58Z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35C32204AC9540AFB0F94C486E03C562</vt:lpwstr>
  </property>
</Properties>
</file>