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eastAsia="方正小标宋简体" w:cs="Times New Roman"/>
          <w:sz w:val="84"/>
          <w:szCs w:val="72"/>
        </w:rPr>
      </w:pPr>
      <w:bookmarkStart w:id="66" w:name="_GoBack"/>
      <w:bookmarkEnd w:id="66"/>
    </w:p>
    <w:p>
      <w:pPr>
        <w:jc w:val="center"/>
        <w:rPr>
          <w:rFonts w:hint="eastAsia" w:ascii="Times New Roman" w:hAnsi="Times New Roman" w:eastAsia="方正小标宋简体" w:cs="Times New Roman"/>
          <w:spacing w:val="-10"/>
          <w:sz w:val="84"/>
          <w:szCs w:val="72"/>
        </w:rPr>
      </w:pPr>
      <w:r>
        <w:rPr>
          <w:rFonts w:ascii="Times New Roman" w:hAnsi="Times New Roman" w:eastAsia="方正小标宋简体" w:cs="Times New Roman"/>
          <w:spacing w:val="-10"/>
          <w:sz w:val="84"/>
          <w:szCs w:val="72"/>
        </w:rPr>
        <w:t>池 州 市 养 殖 水 域</w:t>
      </w:r>
    </w:p>
    <w:p>
      <w:pPr>
        <w:jc w:val="center"/>
        <w:rPr>
          <w:rFonts w:ascii="Times New Roman" w:hAnsi="Times New Roman" w:eastAsia="方正小标宋简体" w:cs="Times New Roman"/>
          <w:sz w:val="44"/>
          <w:szCs w:val="44"/>
        </w:rPr>
      </w:pPr>
      <w:r>
        <w:rPr>
          <w:rFonts w:ascii="Times New Roman" w:hAnsi="Times New Roman" w:eastAsia="方正小标宋简体" w:cs="Times New Roman"/>
          <w:spacing w:val="-10"/>
          <w:sz w:val="84"/>
          <w:szCs w:val="72"/>
        </w:rPr>
        <w:t xml:space="preserve">滩 涂 规 </w:t>
      </w:r>
      <w:r>
        <w:rPr>
          <w:rFonts w:ascii="Times New Roman" w:hAnsi="Times New Roman" w:eastAsia="方正小标宋简体" w:cs="Times New Roman"/>
          <w:sz w:val="84"/>
          <w:szCs w:val="72"/>
        </w:rPr>
        <w:t>划</w:t>
      </w:r>
    </w:p>
    <w:p>
      <w:pPr>
        <w:jc w:val="center"/>
        <w:rPr>
          <w:sz w:val="44"/>
          <w:szCs w:val="44"/>
        </w:rPr>
      </w:pPr>
      <w:r>
        <w:rPr>
          <w:rFonts w:ascii="Times New Roman" w:hAnsi="Times New Roman" w:eastAsia="方正小标宋简体" w:cs="Times New Roman"/>
          <w:sz w:val="66"/>
          <w:szCs w:val="44"/>
        </w:rPr>
        <w:t>（2018</w:t>
      </w:r>
      <w:r>
        <w:rPr>
          <w:rFonts w:hint="eastAsia" w:ascii="Times New Roman" w:hAnsi="Times New Roman" w:eastAsia="方正小标宋简体" w:cs="Times New Roman"/>
          <w:sz w:val="66"/>
          <w:szCs w:val="44"/>
        </w:rPr>
        <w:t>-</w:t>
      </w:r>
      <w:r>
        <w:rPr>
          <w:rFonts w:ascii="Times New Roman" w:hAnsi="Times New Roman" w:eastAsia="方正小标宋简体" w:cs="Times New Roman"/>
          <w:sz w:val="66"/>
          <w:szCs w:val="44"/>
        </w:rPr>
        <w:t>2030年）</w:t>
      </w:r>
    </w:p>
    <w:p>
      <w:pPr>
        <w:jc w:val="center"/>
        <w:rPr>
          <w:rFonts w:hint="eastAsia" w:ascii="Times New Roman" w:hAnsi="Times New Roman" w:eastAsia="方正小标宋简体" w:cs="Times New Roman"/>
          <w:spacing w:val="-10"/>
          <w:sz w:val="84"/>
          <w:szCs w:val="72"/>
          <w:lang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方正小标宋简体" w:cs="Times New Roman"/>
          <w:spacing w:val="-10"/>
          <w:sz w:val="84"/>
          <w:szCs w:val="72"/>
          <w:lang w:eastAsia="zh-CN"/>
        </w:rPr>
        <w:t>（修订稿）</w:t>
      </w:r>
    </w:p>
    <w:p>
      <w:pPr>
        <w:pStyle w:val="8"/>
        <w:tabs>
          <w:tab w:val="right" w:leader="dot" w:pos="8306"/>
        </w:tabs>
        <w:spacing w:beforeLines="100" w:afterLines="100" w:line="360" w:lineRule="auto"/>
        <w:jc w:val="center"/>
        <w:rPr>
          <w:rFonts w:ascii="Times New Roman" w:hAnsi="Times New Roman" w:cs="Times New Roman"/>
          <w:b/>
          <w:bCs/>
          <w:sz w:val="48"/>
          <w:szCs w:val="48"/>
        </w:rPr>
      </w:pPr>
      <w:r>
        <w:rPr>
          <w:rFonts w:ascii="Times New Roman" w:hAnsi="Times New Roman" w:cs="Times New Roman"/>
          <w:b/>
          <w:bCs/>
          <w:sz w:val="48"/>
          <w:szCs w:val="48"/>
        </w:rPr>
        <w:t>目      录</w:t>
      </w:r>
    </w:p>
    <w:p>
      <w:pPr>
        <w:pStyle w:val="8"/>
        <w:tabs>
          <w:tab w:val="right" w:leader="dot" w:pos="10532"/>
        </w:tabs>
        <w:spacing w:line="360" w:lineRule="auto"/>
        <w:rPr>
          <w:b/>
          <w:bCs/>
          <w:sz w:val="30"/>
          <w:szCs w:val="30"/>
        </w:rPr>
      </w:pPr>
      <w:r>
        <w:fldChar w:fldCharType="begin"/>
      </w:r>
      <w:r>
        <w:instrText xml:space="preserve"> HYPERLINK \l "_Toc32449" </w:instrText>
      </w:r>
      <w:r>
        <w:fldChar w:fldCharType="separate"/>
      </w:r>
      <w:r>
        <w:rPr>
          <w:rFonts w:hint="eastAsia" w:ascii="Times New Roman" w:hAnsi="Times New Roman" w:cs="Times New Roman"/>
          <w:b/>
          <w:bCs/>
          <w:sz w:val="30"/>
          <w:szCs w:val="30"/>
        </w:rPr>
        <w:t xml:space="preserve">第一章 </w:t>
      </w:r>
      <w:r>
        <w:rPr>
          <w:rFonts w:ascii="Times New Roman" w:hAnsi="Times New Roman" w:cs="Times New Roman"/>
          <w:b/>
          <w:bCs/>
          <w:sz w:val="30"/>
          <w:szCs w:val="30"/>
        </w:rPr>
        <w:t>总    则</w:t>
      </w:r>
      <w:r>
        <w:rPr>
          <w:rFonts w:ascii="Times New Roman" w:hAnsi="Times New Roman" w:cs="Times New Roman"/>
          <w:b/>
          <w:bCs/>
          <w:sz w:val="30"/>
          <w:szCs w:val="30"/>
        </w:rPr>
        <w:fldChar w:fldCharType="end"/>
      </w:r>
    </w:p>
    <w:p>
      <w:pPr>
        <w:pStyle w:val="9"/>
        <w:tabs>
          <w:tab w:val="right" w:leader="dot" w:pos="10532"/>
        </w:tabs>
        <w:spacing w:line="360" w:lineRule="auto"/>
        <w:rPr>
          <w:sz w:val="24"/>
        </w:rPr>
      </w:pPr>
      <w:r>
        <w:fldChar w:fldCharType="begin"/>
      </w:r>
      <w:r>
        <w:instrText xml:space="preserve"> HYPERLINK \l "_Toc22820" </w:instrText>
      </w:r>
      <w:r>
        <w:fldChar w:fldCharType="separate"/>
      </w:r>
      <w:r>
        <w:rPr>
          <w:rFonts w:hint="eastAsia" w:ascii="宋体" w:hAnsi="宋体" w:cs="宋体"/>
          <w:sz w:val="24"/>
        </w:rPr>
        <w:t xml:space="preserve">第一节 </w:t>
      </w:r>
      <w:r>
        <w:rPr>
          <w:rFonts w:ascii="Times New Roman" w:hAnsi="Times New Roman" w:cs="Times New Roman"/>
          <w:sz w:val="24"/>
        </w:rPr>
        <w:t>前言</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"_Toc1354" </w:instrText>
      </w:r>
      <w:r>
        <w:fldChar w:fldCharType="separate"/>
      </w:r>
      <w:r>
        <w:rPr>
          <w:rFonts w:hint="eastAsia" w:ascii="宋体" w:hAnsi="宋体" w:cs="宋体"/>
          <w:sz w:val="24"/>
        </w:rPr>
        <w:t xml:space="preserve">第二节 </w:t>
      </w:r>
      <w:r>
        <w:rPr>
          <w:rFonts w:ascii="Times New Roman" w:hAnsi="Times New Roman" w:cs="Times New Roman"/>
          <w:sz w:val="24"/>
        </w:rPr>
        <w:t>编制依据</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"_Toc12162" </w:instrText>
      </w:r>
      <w:r>
        <w:fldChar w:fldCharType="separate"/>
      </w:r>
      <w:r>
        <w:rPr>
          <w:rFonts w:hint="eastAsia" w:ascii="Times New Roman" w:hAnsi="Times New Roman" w:cs="Times New Roman"/>
          <w:sz w:val="24"/>
        </w:rPr>
        <w:t xml:space="preserve">第一条 </w:t>
      </w:r>
      <w:r>
        <w:rPr>
          <w:rFonts w:ascii="Times New Roman" w:hAnsi="Times New Roman" w:cs="Times New Roman"/>
          <w:sz w:val="24"/>
        </w:rPr>
        <w:t>有关法律法规</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"_Toc17676" </w:instrText>
      </w:r>
      <w:r>
        <w:fldChar w:fldCharType="separate"/>
      </w:r>
      <w:r>
        <w:rPr>
          <w:rFonts w:hint="eastAsia" w:ascii="Times New Roman" w:hAnsi="Times New Roman" w:cs="Times New Roman"/>
          <w:sz w:val="24"/>
        </w:rPr>
        <w:t xml:space="preserve">第二条 </w:t>
      </w:r>
      <w:r>
        <w:rPr>
          <w:rFonts w:ascii="Times New Roman" w:hAnsi="Times New Roman" w:cs="Times New Roman"/>
          <w:sz w:val="24"/>
        </w:rPr>
        <w:t>有关政策文件及规划成果</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"_Toc10059" </w:instrText>
      </w:r>
      <w:r>
        <w:fldChar w:fldCharType="separate"/>
      </w:r>
      <w:r>
        <w:rPr>
          <w:rFonts w:hint="eastAsia" w:ascii="Times New Roman" w:hAnsi="Times New Roman" w:cs="Times New Roman"/>
          <w:sz w:val="24"/>
        </w:rPr>
        <w:t xml:space="preserve">第三条 </w:t>
      </w:r>
      <w:r>
        <w:rPr>
          <w:rFonts w:ascii="Times New Roman" w:hAnsi="Times New Roman" w:cs="Times New Roman"/>
          <w:sz w:val="24"/>
        </w:rPr>
        <w:t>规范性文件</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"_Toc14760" </w:instrText>
      </w:r>
      <w:r>
        <w:fldChar w:fldCharType="separate"/>
      </w:r>
      <w:r>
        <w:rPr>
          <w:rFonts w:hint="eastAsia" w:ascii="宋体" w:hAnsi="宋体" w:cs="宋体"/>
          <w:sz w:val="24"/>
        </w:rPr>
        <w:t xml:space="preserve">第三节 </w:t>
      </w:r>
      <w:r>
        <w:rPr>
          <w:rFonts w:ascii="Times New Roman" w:hAnsi="Times New Roman" w:cs="Times New Roman"/>
          <w:sz w:val="24"/>
        </w:rPr>
        <w:t>目标任务</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"_Toc12852" </w:instrText>
      </w:r>
      <w:r>
        <w:fldChar w:fldCharType="separate"/>
      </w:r>
      <w:r>
        <w:rPr>
          <w:rFonts w:hint="eastAsia" w:ascii="Times New Roman" w:hAnsi="Times New Roman" w:cs="Times New Roman"/>
          <w:sz w:val="24"/>
        </w:rPr>
        <w:t xml:space="preserve">第四条 </w:t>
      </w:r>
      <w:r>
        <w:rPr>
          <w:rFonts w:ascii="Times New Roman" w:hAnsi="Times New Roman" w:cs="Times New Roman"/>
          <w:sz w:val="24"/>
        </w:rPr>
        <w:t>规划期限</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"_Toc26841" </w:instrText>
      </w:r>
      <w:r>
        <w:fldChar w:fldCharType="separate"/>
      </w:r>
      <w:r>
        <w:rPr>
          <w:rFonts w:hint="eastAsia" w:ascii="Times New Roman" w:hAnsi="Times New Roman" w:cs="Times New Roman"/>
          <w:sz w:val="24"/>
        </w:rPr>
        <w:t xml:space="preserve">第五条 </w:t>
      </w:r>
      <w:r>
        <w:rPr>
          <w:rFonts w:ascii="Times New Roman" w:hAnsi="Times New Roman" w:cs="Times New Roman"/>
          <w:sz w:val="24"/>
        </w:rPr>
        <w:t>规划目标</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"_Toc5758" </w:instrText>
      </w:r>
      <w:r>
        <w:fldChar w:fldCharType="separate"/>
      </w:r>
      <w:r>
        <w:rPr>
          <w:rFonts w:hint="eastAsia" w:ascii="Times New Roman" w:hAnsi="Times New Roman" w:cs="Times New Roman"/>
          <w:sz w:val="24"/>
        </w:rPr>
        <w:t xml:space="preserve">第六条 </w:t>
      </w:r>
      <w:r>
        <w:rPr>
          <w:rFonts w:ascii="Times New Roman" w:hAnsi="Times New Roman" w:cs="Times New Roman"/>
          <w:sz w:val="24"/>
        </w:rPr>
        <w:t>重点任务</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"_Toc16776" </w:instrText>
      </w:r>
      <w:r>
        <w:fldChar w:fldCharType="separate"/>
      </w:r>
      <w:r>
        <w:rPr>
          <w:rFonts w:hint="eastAsia" w:ascii="宋体" w:hAnsi="宋体" w:cs="宋体"/>
          <w:sz w:val="24"/>
        </w:rPr>
        <w:t xml:space="preserve">第四节 </w:t>
      </w:r>
      <w:r>
        <w:rPr>
          <w:rFonts w:ascii="Times New Roman" w:hAnsi="Times New Roman" w:cs="Times New Roman"/>
          <w:sz w:val="24"/>
        </w:rPr>
        <w:t>基本原则</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"_Toc27247" </w:instrText>
      </w:r>
      <w:r>
        <w:fldChar w:fldCharType="separate"/>
      </w:r>
      <w:r>
        <w:rPr>
          <w:rFonts w:hint="eastAsia" w:ascii="宋体" w:hAnsi="宋体" w:cs="宋体"/>
          <w:sz w:val="24"/>
        </w:rPr>
        <w:t xml:space="preserve">第五节 </w:t>
      </w:r>
      <w:r>
        <w:rPr>
          <w:rFonts w:ascii="Times New Roman" w:hAnsi="Times New Roman" w:cs="Times New Roman"/>
          <w:sz w:val="24"/>
        </w:rPr>
        <w:t>规划范围</w:t>
      </w:r>
      <w:r>
        <w:rPr>
          <w:rFonts w:ascii="Times New Roman" w:hAnsi="Times New Roman" w:cs="Times New Roman"/>
          <w:sz w:val="24"/>
        </w:rPr>
        <w:fldChar w:fldCharType="end"/>
      </w:r>
    </w:p>
    <w:p>
      <w:pPr>
        <w:pStyle w:val="8"/>
        <w:tabs>
          <w:tab w:val="right" w:leader="dot" w:pos="10532"/>
        </w:tabs>
        <w:spacing w:line="360" w:lineRule="auto"/>
        <w:rPr>
          <w:rFonts w:ascii="宋体" w:hAnsi="宋体" w:cs="宋体"/>
          <w:b/>
          <w:bCs/>
          <w:sz w:val="30"/>
          <w:szCs w:val="30"/>
        </w:rPr>
      </w:pPr>
      <w:r>
        <w:fldChar w:fldCharType="begin"/>
      </w:r>
      <w:r>
        <w:instrText xml:space="preserve"> HYPERLINK \l "_Toc24537" </w:instrText>
      </w:r>
      <w:r>
        <w:fldChar w:fldCharType="separate"/>
      </w:r>
      <w:r>
        <w:rPr>
          <w:rFonts w:hint="eastAsia" w:ascii="宋体" w:hAnsi="宋体" w:cs="宋体"/>
          <w:b/>
          <w:bCs/>
          <w:sz w:val="30"/>
          <w:szCs w:val="30"/>
        </w:rPr>
        <w:t xml:space="preserve">第二章 </w:t>
      </w:r>
      <w:r>
        <w:rPr>
          <w:rFonts w:ascii="宋体" w:hAnsi="宋体" w:cs="宋体"/>
          <w:b/>
          <w:bCs/>
          <w:sz w:val="30"/>
          <w:szCs w:val="30"/>
        </w:rPr>
        <w:t>养殖水域滩涂利用评价</w:t>
      </w:r>
      <w:r>
        <w:rPr>
          <w:rFonts w:ascii="宋体" w:hAnsi="宋体" w:cs="宋体"/>
          <w:b/>
          <w:bCs/>
          <w:sz w:val="30"/>
          <w:szCs w:val="30"/>
        </w:rPr>
        <w:fldChar w:fldCharType="end"/>
      </w:r>
    </w:p>
    <w:p>
      <w:pPr>
        <w:pStyle w:val="9"/>
        <w:tabs>
          <w:tab w:val="right" w:leader="dot" w:pos="10532"/>
        </w:tabs>
        <w:spacing w:line="360" w:lineRule="auto"/>
        <w:rPr>
          <w:sz w:val="24"/>
        </w:rPr>
      </w:pPr>
      <w:r>
        <w:fldChar w:fldCharType="begin"/>
      </w:r>
      <w:r>
        <w:instrText xml:space="preserve"> HYPERLINK \l "_Toc18080" </w:instrText>
      </w:r>
      <w:r>
        <w:fldChar w:fldCharType="separate"/>
      </w:r>
      <w:r>
        <w:rPr>
          <w:rFonts w:hint="eastAsia" w:ascii="宋体" w:hAnsi="宋体" w:cs="宋体"/>
          <w:sz w:val="24"/>
        </w:rPr>
        <w:t xml:space="preserve">第六节 </w:t>
      </w:r>
      <w:r>
        <w:rPr>
          <w:rFonts w:ascii="Times New Roman" w:hAnsi="Times New Roman" w:cs="Times New Roman"/>
          <w:sz w:val="24"/>
        </w:rPr>
        <w:t>水域滩涂承载力分析</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"_Toc12387" </w:instrText>
      </w:r>
      <w:r>
        <w:fldChar w:fldCharType="separate"/>
      </w:r>
      <w:r>
        <w:rPr>
          <w:rFonts w:hint="eastAsia" w:ascii="Times New Roman" w:hAnsi="Times New Roman" w:cs="Times New Roman"/>
          <w:sz w:val="24"/>
        </w:rPr>
        <w:t xml:space="preserve">第七条 </w:t>
      </w:r>
      <w:r>
        <w:rPr>
          <w:rFonts w:ascii="Times New Roman" w:hAnsi="Times New Roman" w:cs="Times New Roman"/>
          <w:sz w:val="24"/>
        </w:rPr>
        <w:t>水域滩涂资源状况</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"_Toc24970" </w:instrText>
      </w:r>
      <w:r>
        <w:fldChar w:fldCharType="separate"/>
      </w:r>
      <w:r>
        <w:rPr>
          <w:rFonts w:hint="eastAsia" w:ascii="Times New Roman" w:hAnsi="Times New Roman" w:cs="Times New Roman"/>
          <w:sz w:val="24"/>
        </w:rPr>
        <w:t xml:space="preserve">第八条 </w:t>
      </w:r>
      <w:r>
        <w:rPr>
          <w:rFonts w:ascii="Times New Roman" w:hAnsi="Times New Roman" w:cs="Times New Roman"/>
          <w:sz w:val="24"/>
        </w:rPr>
        <w:t>自然气候条件</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"_Toc11062" </w:instrText>
      </w:r>
      <w:r>
        <w:fldChar w:fldCharType="separate"/>
      </w:r>
      <w:r>
        <w:rPr>
          <w:rFonts w:hint="eastAsia" w:ascii="Times New Roman" w:hAnsi="Times New Roman" w:cs="Times New Roman"/>
          <w:sz w:val="24"/>
        </w:rPr>
        <w:t xml:space="preserve">第九条 </w:t>
      </w:r>
      <w:r>
        <w:rPr>
          <w:rFonts w:ascii="Times New Roman" w:hAnsi="Times New Roman" w:cs="Times New Roman"/>
          <w:sz w:val="24"/>
        </w:rPr>
        <w:t>水生生物资源状况</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"_Toc32123" </w:instrText>
      </w:r>
      <w:r>
        <w:fldChar w:fldCharType="separate"/>
      </w:r>
      <w:r>
        <w:rPr>
          <w:rFonts w:hint="eastAsia" w:ascii="Times New Roman" w:hAnsi="Times New Roman" w:cs="Times New Roman"/>
          <w:sz w:val="24"/>
        </w:rPr>
        <w:t xml:space="preserve">第十条 </w:t>
      </w:r>
      <w:r>
        <w:rPr>
          <w:rFonts w:ascii="Times New Roman" w:hAnsi="Times New Roman" w:cs="Times New Roman"/>
          <w:sz w:val="24"/>
        </w:rPr>
        <w:t>水域环境状况</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"_Toc25790" </w:instrText>
      </w:r>
      <w:r>
        <w:fldChar w:fldCharType="separate"/>
      </w:r>
      <w:r>
        <w:rPr>
          <w:rFonts w:hint="eastAsia" w:ascii="Times New Roman" w:hAnsi="Times New Roman" w:cs="Times New Roman"/>
          <w:sz w:val="24"/>
        </w:rPr>
        <w:t xml:space="preserve">第十一条 </w:t>
      </w:r>
      <w:r>
        <w:rPr>
          <w:rFonts w:ascii="Times New Roman" w:hAnsi="Times New Roman" w:cs="Times New Roman"/>
          <w:sz w:val="24"/>
        </w:rPr>
        <w:t>水域滩涂承载力评价</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"_Toc4338" </w:instrText>
      </w:r>
      <w:r>
        <w:fldChar w:fldCharType="separate"/>
      </w:r>
      <w:r>
        <w:rPr>
          <w:rFonts w:hint="eastAsia" w:ascii="宋体" w:hAnsi="宋体" w:cs="宋体"/>
          <w:sz w:val="24"/>
        </w:rPr>
        <w:t xml:space="preserve">第七节 </w:t>
      </w:r>
      <w:r>
        <w:rPr>
          <w:rFonts w:ascii="Times New Roman" w:hAnsi="Times New Roman" w:cs="Times New Roman"/>
          <w:sz w:val="24"/>
        </w:rPr>
        <w:t>水产养殖产业发展分析</w:t>
      </w:r>
      <w:r>
        <w:rPr>
          <w:rFonts w:ascii="Times New Roman" w:hAnsi="Times New Roman" w:cs="Times New Roman"/>
          <w:sz w:val="24"/>
        </w:rPr>
        <w:fldChar w:fldCharType="end"/>
      </w:r>
    </w:p>
    <w:p>
      <w:pPr>
        <w:pStyle w:val="5"/>
        <w:tabs>
          <w:tab w:val="right" w:pos="2800"/>
          <w:tab w:val="right" w:leader="dot" w:pos="10532"/>
        </w:tabs>
        <w:spacing w:line="360" w:lineRule="auto"/>
        <w:rPr>
          <w:sz w:val="24"/>
        </w:rPr>
      </w:pPr>
      <w:r>
        <w:fldChar w:fldCharType="begin"/>
      </w:r>
      <w:r>
        <w:instrText xml:space="preserve"> HYPERLINK \l "_Toc12754" </w:instrText>
      </w:r>
      <w:r>
        <w:fldChar w:fldCharType="separate"/>
      </w:r>
      <w:r>
        <w:rPr>
          <w:rFonts w:hint="eastAsia" w:ascii="Times New Roman" w:hAnsi="Times New Roman" w:cs="Times New Roman"/>
          <w:sz w:val="24"/>
        </w:rPr>
        <w:t xml:space="preserve">第十二条 </w:t>
      </w:r>
      <w:r>
        <w:rPr>
          <w:rFonts w:ascii="Times New Roman" w:hAnsi="Times New Roman" w:cs="Times New Roman"/>
          <w:sz w:val="24"/>
        </w:rPr>
        <w:t>水产养殖发展现状</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"_Toc15471" </w:instrText>
      </w:r>
      <w:r>
        <w:fldChar w:fldCharType="separate"/>
      </w:r>
      <w:r>
        <w:rPr>
          <w:rFonts w:hint="eastAsia" w:ascii="Times New Roman" w:hAnsi="Times New Roman" w:cs="Times New Roman"/>
          <w:sz w:val="24"/>
        </w:rPr>
        <w:t xml:space="preserve">第十三条 </w:t>
      </w:r>
      <w:r>
        <w:rPr>
          <w:rFonts w:ascii="Times New Roman" w:hAnsi="Times New Roman" w:cs="Times New Roman"/>
          <w:sz w:val="24"/>
        </w:rPr>
        <w:t>区域经济发展方向</w:t>
      </w:r>
      <w:r>
        <w:rPr>
          <w:rFonts w:ascii="Times New Roman" w:hAnsi="Times New Roman" w:cs="Times New Roman"/>
          <w:sz w:val="24"/>
        </w:rPr>
        <w:fldChar w:fldCharType="end"/>
      </w:r>
    </w:p>
    <w:p>
      <w:pPr>
        <w:pStyle w:val="5"/>
        <w:tabs>
          <w:tab w:val="right" w:leader="dot" w:pos="10532"/>
        </w:tabs>
        <w:spacing w:line="360" w:lineRule="auto"/>
        <w:rPr>
          <w:sz w:val="24"/>
        </w:rPr>
      </w:pPr>
      <w:r>
        <w:fldChar w:fldCharType="begin"/>
      </w:r>
      <w:r>
        <w:instrText xml:space="preserve"> HYPERLINK \l "_Toc31696" </w:instrText>
      </w:r>
      <w:r>
        <w:fldChar w:fldCharType="separate"/>
      </w:r>
      <w:r>
        <w:rPr>
          <w:rFonts w:hint="eastAsia" w:ascii="Times New Roman" w:hAnsi="Times New Roman" w:cs="Times New Roman"/>
          <w:sz w:val="24"/>
        </w:rPr>
        <w:t xml:space="preserve">第十四条 </w:t>
      </w:r>
      <w:r>
        <w:rPr>
          <w:rFonts w:ascii="Times New Roman" w:hAnsi="Times New Roman" w:cs="Times New Roman"/>
          <w:sz w:val="24"/>
        </w:rPr>
        <w:t>水产养殖前景预测</w:t>
      </w:r>
      <w:r>
        <w:rPr>
          <w:rFonts w:ascii="Times New Roman" w:hAnsi="Times New Roman" w:cs="Times New Roman"/>
          <w:sz w:val="24"/>
        </w:rPr>
        <w:fldChar w:fldCharType="end"/>
      </w:r>
    </w:p>
    <w:p>
      <w:pPr>
        <w:pStyle w:val="9"/>
        <w:tabs>
          <w:tab w:val="right" w:leader="dot" w:pos="10532"/>
        </w:tabs>
        <w:spacing w:line="360" w:lineRule="auto"/>
        <w:rPr>
          <w:sz w:val="24"/>
        </w:rPr>
        <w:sectPr>
          <w:pgSz w:w="11906" w:h="16838"/>
          <w:pgMar w:top="1440" w:right="1800" w:bottom="1440" w:left="1800" w:header="851" w:footer="992" w:gutter="0"/>
          <w:cols w:space="425" w:num="1"/>
          <w:docGrid w:type="lines" w:linePitch="312" w:charSpace="0"/>
        </w:sectPr>
      </w:pPr>
      <w:r>
        <w:fldChar w:fldCharType="begin"/>
      </w:r>
      <w:r>
        <w:instrText xml:space="preserve"> HYPERLINK \l "_Toc27443" </w:instrText>
      </w:r>
      <w:r>
        <w:fldChar w:fldCharType="separate"/>
      </w:r>
      <w:r>
        <w:rPr>
          <w:rFonts w:hint="eastAsia" w:ascii="宋体" w:hAnsi="宋体" w:cs="宋体"/>
          <w:sz w:val="24"/>
        </w:rPr>
        <w:t xml:space="preserve">第八节 </w:t>
      </w:r>
      <w:r>
        <w:rPr>
          <w:rFonts w:ascii="Times New Roman" w:hAnsi="Times New Roman" w:cs="Times New Roman"/>
          <w:sz w:val="24"/>
        </w:rPr>
        <w:t>养殖水域滩涂开发总体思路</w:t>
      </w:r>
      <w:r>
        <w:rPr>
          <w:rFonts w:ascii="Times New Roman" w:hAnsi="Times New Roman" w:cs="Times New Roman"/>
          <w:sz w:val="24"/>
        </w:rPr>
        <w:fldChar w:fldCharType="end"/>
      </w:r>
    </w:p>
    <w:p>
      <w:pPr>
        <w:pStyle w:val="8"/>
        <w:tabs>
          <w:tab w:val="right" w:leader="dot" w:pos="10532"/>
        </w:tabs>
        <w:spacing w:line="360" w:lineRule="auto"/>
        <w:rPr>
          <w:rFonts w:ascii="宋体" w:hAnsi="宋体" w:cs="宋体"/>
          <w:b/>
          <w:bCs/>
          <w:sz w:val="30"/>
          <w:szCs w:val="30"/>
        </w:rPr>
      </w:pPr>
      <w:r>
        <w:fldChar w:fldCharType="begin"/>
      </w:r>
      <w:r>
        <w:instrText xml:space="preserve"> HYPERLINK \l "_Toc32464" </w:instrText>
      </w:r>
      <w:r>
        <w:fldChar w:fldCharType="separate"/>
      </w:r>
      <w:r>
        <w:rPr>
          <w:rFonts w:hint="eastAsia" w:ascii="宋体" w:hAnsi="宋体" w:cs="宋体"/>
          <w:b/>
          <w:bCs/>
          <w:sz w:val="30"/>
          <w:szCs w:val="30"/>
        </w:rPr>
        <w:t>第三章 养殖水域滩涂功能区划</w:t>
      </w:r>
      <w:r>
        <w:rPr>
          <w:rFonts w:hint="eastAsia" w:ascii="宋体" w:hAnsi="宋体" w:cs="宋体"/>
          <w:b/>
          <w:bCs/>
          <w:sz w:val="30"/>
          <w:szCs w:val="30"/>
        </w:rPr>
        <w:fldChar w:fldCharType="end"/>
      </w:r>
    </w:p>
    <w:p>
      <w:pPr>
        <w:pStyle w:val="9"/>
        <w:tabs>
          <w:tab w:val="right" w:leader="dot" w:pos="10532"/>
        </w:tabs>
        <w:spacing w:line="360" w:lineRule="auto"/>
        <w:rPr>
          <w:sz w:val="24"/>
        </w:rPr>
      </w:pPr>
      <w:r>
        <w:fldChar w:fldCharType="begin"/>
      </w:r>
      <w:r>
        <w:instrText xml:space="preserve"> HYPERLINK \l "_Toc1120" </w:instrText>
      </w:r>
      <w:r>
        <w:fldChar w:fldCharType="separate"/>
      </w:r>
      <w:r>
        <w:rPr>
          <w:rFonts w:hint="eastAsia" w:ascii="宋体" w:hAnsi="宋体" w:cs="宋体"/>
          <w:sz w:val="24"/>
        </w:rPr>
        <w:t xml:space="preserve">第九节 </w:t>
      </w:r>
      <w:r>
        <w:rPr>
          <w:rFonts w:ascii="Times New Roman" w:hAnsi="Times New Roman" w:cs="Times New Roman"/>
          <w:sz w:val="24"/>
        </w:rPr>
        <w:t>功能区划概述</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"_Toc29977" </w:instrText>
      </w:r>
      <w:r>
        <w:fldChar w:fldCharType="separate"/>
      </w:r>
      <w:r>
        <w:rPr>
          <w:rFonts w:hint="eastAsia" w:ascii="宋体" w:hAnsi="宋体" w:cs="宋体"/>
          <w:sz w:val="24"/>
        </w:rPr>
        <w:t xml:space="preserve">第十节 </w:t>
      </w:r>
      <w:r>
        <w:rPr>
          <w:rFonts w:ascii="Times New Roman" w:hAnsi="Times New Roman" w:cs="Times New Roman"/>
          <w:sz w:val="24"/>
        </w:rPr>
        <w:t>禁止养殖区</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"_Toc10339" </w:instrText>
      </w:r>
      <w:r>
        <w:fldChar w:fldCharType="separate"/>
      </w:r>
      <w:r>
        <w:rPr>
          <w:rFonts w:hint="eastAsia" w:ascii="宋体" w:hAnsi="宋体" w:cs="宋体"/>
          <w:sz w:val="24"/>
        </w:rPr>
        <w:t xml:space="preserve">第十一节 </w:t>
      </w:r>
      <w:r>
        <w:rPr>
          <w:rFonts w:ascii="Times New Roman" w:hAnsi="Times New Roman" w:cs="Times New Roman"/>
          <w:sz w:val="24"/>
        </w:rPr>
        <w:t>限制养殖区</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"_Toc27410" </w:instrText>
      </w:r>
      <w:r>
        <w:fldChar w:fldCharType="separate"/>
      </w:r>
      <w:r>
        <w:rPr>
          <w:rFonts w:hint="eastAsia" w:ascii="宋体" w:hAnsi="宋体" w:cs="宋体"/>
          <w:sz w:val="24"/>
        </w:rPr>
        <w:t xml:space="preserve">第十二节 </w:t>
      </w:r>
      <w:r>
        <w:rPr>
          <w:rFonts w:ascii="Times New Roman" w:hAnsi="Times New Roman" w:cs="Times New Roman"/>
          <w:sz w:val="24"/>
        </w:rPr>
        <w:t>养殖区</w:t>
      </w:r>
      <w:r>
        <w:rPr>
          <w:rFonts w:ascii="Times New Roman" w:hAnsi="Times New Roman" w:cs="Times New Roman"/>
          <w:sz w:val="24"/>
        </w:rPr>
        <w:fldChar w:fldCharType="end"/>
      </w:r>
    </w:p>
    <w:p>
      <w:pPr>
        <w:pStyle w:val="8"/>
        <w:tabs>
          <w:tab w:val="right" w:leader="dot" w:pos="10532"/>
        </w:tabs>
        <w:spacing w:line="360" w:lineRule="auto"/>
        <w:rPr>
          <w:rFonts w:ascii="宋体" w:hAnsi="宋体" w:cs="宋体"/>
          <w:b/>
          <w:bCs/>
          <w:sz w:val="30"/>
          <w:szCs w:val="30"/>
        </w:rPr>
      </w:pPr>
      <w:r>
        <w:fldChar w:fldCharType="begin"/>
      </w:r>
      <w:r>
        <w:instrText xml:space="preserve"> HYPERLINK \l "_Toc1679" </w:instrText>
      </w:r>
      <w:r>
        <w:fldChar w:fldCharType="separate"/>
      </w:r>
      <w:r>
        <w:rPr>
          <w:rFonts w:hint="eastAsia" w:ascii="宋体" w:hAnsi="宋体" w:cs="宋体"/>
          <w:b/>
          <w:bCs/>
          <w:sz w:val="30"/>
          <w:szCs w:val="30"/>
        </w:rPr>
        <w:t xml:space="preserve">第四章 </w:t>
      </w:r>
      <w:r>
        <w:rPr>
          <w:rFonts w:ascii="宋体" w:hAnsi="宋体" w:cs="宋体"/>
          <w:b/>
          <w:bCs/>
          <w:sz w:val="30"/>
          <w:szCs w:val="30"/>
        </w:rPr>
        <w:t>保障措施</w:t>
      </w:r>
      <w:r>
        <w:rPr>
          <w:rFonts w:ascii="宋体" w:hAnsi="宋体" w:cs="宋体"/>
          <w:b/>
          <w:bCs/>
          <w:sz w:val="30"/>
          <w:szCs w:val="30"/>
        </w:rPr>
        <w:fldChar w:fldCharType="end"/>
      </w:r>
    </w:p>
    <w:p>
      <w:pPr>
        <w:pStyle w:val="9"/>
        <w:tabs>
          <w:tab w:val="right" w:leader="dot" w:pos="10532"/>
        </w:tabs>
        <w:spacing w:line="360" w:lineRule="auto"/>
        <w:rPr>
          <w:sz w:val="24"/>
        </w:rPr>
      </w:pPr>
      <w:r>
        <w:fldChar w:fldCharType="begin"/>
      </w:r>
      <w:r>
        <w:instrText xml:space="preserve"> HYPERLINK \l "_Toc7445" </w:instrText>
      </w:r>
      <w:r>
        <w:fldChar w:fldCharType="separate"/>
      </w:r>
      <w:r>
        <w:rPr>
          <w:rFonts w:hint="eastAsia" w:ascii="宋体" w:hAnsi="宋体" w:cs="宋体"/>
          <w:sz w:val="24"/>
        </w:rPr>
        <w:t xml:space="preserve">第十三节 </w:t>
      </w:r>
      <w:r>
        <w:rPr>
          <w:rFonts w:ascii="Times New Roman" w:hAnsi="Times New Roman" w:cs="Times New Roman"/>
          <w:sz w:val="24"/>
        </w:rPr>
        <w:t>加强组织领导</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"_Toc1996" </w:instrText>
      </w:r>
      <w:r>
        <w:fldChar w:fldCharType="separate"/>
      </w:r>
      <w:r>
        <w:rPr>
          <w:rFonts w:hint="eastAsia" w:ascii="宋体" w:hAnsi="宋体" w:cs="宋体"/>
          <w:sz w:val="24"/>
        </w:rPr>
        <w:t xml:space="preserve">第十四节 </w:t>
      </w:r>
      <w:r>
        <w:rPr>
          <w:rFonts w:ascii="Times New Roman" w:hAnsi="Times New Roman" w:cs="Times New Roman"/>
          <w:sz w:val="24"/>
        </w:rPr>
        <w:t>强化监督检查</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"_Toc10031" </w:instrText>
      </w:r>
      <w:r>
        <w:fldChar w:fldCharType="separate"/>
      </w:r>
      <w:r>
        <w:rPr>
          <w:rFonts w:hint="eastAsia" w:ascii="宋体" w:hAnsi="宋体" w:cs="宋体"/>
          <w:sz w:val="24"/>
        </w:rPr>
        <w:t xml:space="preserve">第十五节 </w:t>
      </w:r>
      <w:r>
        <w:rPr>
          <w:rFonts w:ascii="Times New Roman" w:hAnsi="Times New Roman" w:cs="Times New Roman"/>
          <w:sz w:val="24"/>
        </w:rPr>
        <w:t>完善生态保护</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"_Toc25056" </w:instrText>
      </w:r>
      <w:r>
        <w:fldChar w:fldCharType="separate"/>
      </w:r>
      <w:r>
        <w:rPr>
          <w:rFonts w:hint="eastAsia" w:ascii="宋体" w:hAnsi="宋体" w:cs="宋体"/>
          <w:sz w:val="24"/>
        </w:rPr>
        <w:t xml:space="preserve">第十六节 </w:t>
      </w:r>
      <w:r>
        <w:rPr>
          <w:rFonts w:ascii="Times New Roman" w:hAnsi="Times New Roman" w:cs="Times New Roman"/>
          <w:sz w:val="24"/>
        </w:rPr>
        <w:t>其他保障措施</w:t>
      </w:r>
      <w:r>
        <w:rPr>
          <w:rFonts w:ascii="Times New Roman" w:hAnsi="Times New Roman" w:cs="Times New Roman"/>
          <w:sz w:val="24"/>
        </w:rPr>
        <w:fldChar w:fldCharType="end"/>
      </w:r>
    </w:p>
    <w:p>
      <w:pPr>
        <w:pStyle w:val="8"/>
        <w:tabs>
          <w:tab w:val="right" w:leader="dot" w:pos="10532"/>
        </w:tabs>
        <w:spacing w:line="360" w:lineRule="auto"/>
        <w:rPr>
          <w:rFonts w:ascii="宋体" w:hAnsi="宋体" w:cs="宋体"/>
          <w:b/>
          <w:bCs/>
          <w:sz w:val="30"/>
          <w:szCs w:val="30"/>
        </w:rPr>
      </w:pPr>
      <w:r>
        <w:fldChar w:fldCharType="begin"/>
      </w:r>
      <w:r>
        <w:instrText xml:space="preserve"> HYPERLINK \l "_Toc237" </w:instrText>
      </w:r>
      <w:r>
        <w:fldChar w:fldCharType="separate"/>
      </w:r>
      <w:r>
        <w:rPr>
          <w:rFonts w:hint="eastAsia" w:ascii="宋体" w:hAnsi="宋体" w:cs="宋体"/>
          <w:b/>
          <w:bCs/>
          <w:sz w:val="30"/>
          <w:szCs w:val="30"/>
        </w:rPr>
        <w:t xml:space="preserve">第五章 </w:t>
      </w:r>
      <w:r>
        <w:rPr>
          <w:rFonts w:ascii="宋体" w:hAnsi="宋体" w:cs="宋体"/>
          <w:b/>
          <w:bCs/>
          <w:sz w:val="30"/>
          <w:szCs w:val="30"/>
        </w:rPr>
        <w:t>附    则</w:t>
      </w:r>
      <w:r>
        <w:rPr>
          <w:rFonts w:ascii="宋体" w:hAnsi="宋体" w:cs="宋体"/>
          <w:b/>
          <w:bCs/>
          <w:sz w:val="30"/>
          <w:szCs w:val="30"/>
        </w:rPr>
        <w:fldChar w:fldCharType="end"/>
      </w:r>
    </w:p>
    <w:p>
      <w:pPr>
        <w:pStyle w:val="9"/>
        <w:tabs>
          <w:tab w:val="right" w:leader="dot" w:pos="10532"/>
        </w:tabs>
        <w:spacing w:line="360" w:lineRule="auto"/>
        <w:rPr>
          <w:sz w:val="24"/>
        </w:rPr>
      </w:pPr>
      <w:r>
        <w:fldChar w:fldCharType="begin"/>
      </w:r>
      <w:r>
        <w:instrText xml:space="preserve"> HYPERLINK \l "_Toc1692" </w:instrText>
      </w:r>
      <w:r>
        <w:fldChar w:fldCharType="separate"/>
      </w:r>
      <w:r>
        <w:rPr>
          <w:rFonts w:hint="eastAsia" w:ascii="宋体" w:hAnsi="宋体" w:cs="宋体"/>
          <w:sz w:val="24"/>
        </w:rPr>
        <w:t xml:space="preserve">第十七节 </w:t>
      </w:r>
      <w:r>
        <w:rPr>
          <w:rFonts w:ascii="Times New Roman" w:hAnsi="Times New Roman" w:cs="Times New Roman"/>
          <w:sz w:val="24"/>
        </w:rPr>
        <w:t>关于规划效力</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"_Toc30138" </w:instrText>
      </w:r>
      <w:r>
        <w:fldChar w:fldCharType="separate"/>
      </w:r>
      <w:r>
        <w:rPr>
          <w:rFonts w:hint="eastAsia" w:ascii="宋体" w:hAnsi="宋体" w:cs="宋体"/>
          <w:sz w:val="24"/>
        </w:rPr>
        <w:t xml:space="preserve">第十八节 </w:t>
      </w:r>
      <w:r>
        <w:rPr>
          <w:rFonts w:ascii="Times New Roman" w:hAnsi="Times New Roman" w:cs="Times New Roman"/>
          <w:sz w:val="24"/>
        </w:rPr>
        <w:t>关于规划图件</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"_Toc13376" </w:instrText>
      </w:r>
      <w:r>
        <w:fldChar w:fldCharType="separate"/>
      </w:r>
      <w:r>
        <w:rPr>
          <w:rFonts w:hint="eastAsia" w:ascii="宋体" w:hAnsi="宋体" w:cs="宋体"/>
          <w:sz w:val="24"/>
        </w:rPr>
        <w:t xml:space="preserve">第十九节 </w:t>
      </w:r>
      <w:r>
        <w:rPr>
          <w:rFonts w:ascii="Times New Roman" w:hAnsi="Times New Roman" w:cs="Times New Roman"/>
          <w:sz w:val="24"/>
        </w:rPr>
        <w:t>关于规划实施的补充说明</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"_Toc13057" </w:instrText>
      </w:r>
      <w:r>
        <w:fldChar w:fldCharType="separate"/>
      </w:r>
      <w:r>
        <w:rPr>
          <w:rFonts w:hint="eastAsia" w:ascii="宋体" w:hAnsi="宋体" w:cs="宋体"/>
          <w:sz w:val="24"/>
        </w:rPr>
        <w:t xml:space="preserve">第二十节 </w:t>
      </w:r>
      <w:r>
        <w:rPr>
          <w:rFonts w:ascii="Times New Roman" w:hAnsi="Times New Roman" w:cs="Times New Roman"/>
          <w:sz w:val="24"/>
        </w:rPr>
        <w:t>关于规划修订</w:t>
      </w:r>
      <w:r>
        <w:rPr>
          <w:rFonts w:ascii="Times New Roman" w:hAnsi="Times New Roman" w:cs="Times New Roman"/>
          <w:sz w:val="24"/>
        </w:rPr>
        <w:fldChar w:fldCharType="end"/>
      </w:r>
    </w:p>
    <w:p>
      <w:pPr>
        <w:pStyle w:val="9"/>
        <w:tabs>
          <w:tab w:val="right" w:leader="dot" w:pos="10532"/>
        </w:tabs>
        <w:spacing w:line="360" w:lineRule="auto"/>
        <w:rPr>
          <w:sz w:val="24"/>
        </w:rPr>
      </w:pPr>
      <w:r>
        <w:fldChar w:fldCharType="begin"/>
      </w:r>
      <w:r>
        <w:instrText xml:space="preserve"> HYPERLINK \l "_Toc11761" </w:instrText>
      </w:r>
      <w:r>
        <w:fldChar w:fldCharType="separate"/>
      </w:r>
      <w:r>
        <w:rPr>
          <w:rFonts w:hint="eastAsia" w:ascii="宋体" w:hAnsi="宋体" w:cs="宋体"/>
          <w:sz w:val="24"/>
        </w:rPr>
        <w:t xml:space="preserve">第二十一节 </w:t>
      </w:r>
      <w:r>
        <w:rPr>
          <w:rFonts w:ascii="Times New Roman" w:hAnsi="Times New Roman" w:cs="Times New Roman"/>
          <w:sz w:val="24"/>
        </w:rPr>
        <w:t>有关术语</w:t>
      </w:r>
      <w:r>
        <w:rPr>
          <w:rFonts w:ascii="Times New Roman" w:hAnsi="Times New Roman" w:cs="Times New Roman"/>
          <w:sz w:val="24"/>
        </w:rPr>
        <w:fldChar w:fldCharType="end"/>
      </w:r>
    </w:p>
    <w:p>
      <w:pPr>
        <w:pStyle w:val="8"/>
        <w:tabs>
          <w:tab w:val="right" w:leader="dot" w:pos="10532"/>
        </w:tabs>
        <w:spacing w:line="360" w:lineRule="auto"/>
        <w:rPr>
          <w:rFonts w:ascii="宋体" w:hAnsi="宋体" w:cs="宋体"/>
          <w:b/>
          <w:bCs/>
          <w:sz w:val="30"/>
          <w:szCs w:val="30"/>
        </w:rPr>
      </w:pPr>
      <w:r>
        <w:fldChar w:fldCharType="begin"/>
      </w:r>
      <w:r>
        <w:instrText xml:space="preserve"> HYPERLINK \l "_Toc9460" </w:instrText>
      </w:r>
      <w:r>
        <w:fldChar w:fldCharType="separate"/>
      </w:r>
      <w:r>
        <w:rPr>
          <w:rFonts w:ascii="宋体" w:hAnsi="宋体" w:cs="宋体"/>
          <w:b/>
          <w:bCs/>
          <w:sz w:val="30"/>
          <w:szCs w:val="30"/>
        </w:rPr>
        <w:t>附表  养殖水域滩涂功能区划表</w:t>
      </w:r>
      <w:r>
        <w:rPr>
          <w:rFonts w:ascii="宋体" w:hAnsi="宋体" w:cs="宋体"/>
          <w:b/>
          <w:bCs/>
          <w:sz w:val="30"/>
          <w:szCs w:val="30"/>
        </w:rPr>
        <w:fldChar w:fldCharType="end"/>
      </w:r>
    </w:p>
    <w:p>
      <w:pPr>
        <w:sectPr>
          <w:pgSz w:w="11906" w:h="16838"/>
          <w:pgMar w:top="1440" w:right="1800" w:bottom="1440" w:left="1800" w:header="851" w:footer="992" w:gutter="0"/>
          <w:cols w:space="425" w:num="1"/>
          <w:docGrid w:type="lines" w:linePitch="312" w:charSpace="0"/>
        </w:sectPr>
      </w:pPr>
      <w:r>
        <w:fldChar w:fldCharType="begin"/>
      </w:r>
      <w:r>
        <w:instrText xml:space="preserve"> HYPERLINK \l "_Toc9460" </w:instrText>
      </w:r>
      <w:r>
        <w:fldChar w:fldCharType="separate"/>
      </w:r>
      <w:r>
        <w:rPr>
          <w:rFonts w:ascii="宋体" w:hAnsi="宋体" w:cs="宋体"/>
          <w:b/>
          <w:bCs/>
          <w:sz w:val="30"/>
          <w:szCs w:val="30"/>
        </w:rPr>
        <w:t>附</w:t>
      </w:r>
      <w:r>
        <w:rPr>
          <w:rFonts w:hint="eastAsia" w:ascii="宋体" w:hAnsi="宋体" w:cs="宋体"/>
          <w:b/>
          <w:bCs/>
          <w:sz w:val="30"/>
          <w:szCs w:val="30"/>
        </w:rPr>
        <w:t>图</w:t>
      </w:r>
      <w:r>
        <w:rPr>
          <w:rFonts w:ascii="宋体" w:hAnsi="宋体" w:cs="宋体"/>
          <w:b/>
          <w:bCs/>
          <w:sz w:val="30"/>
          <w:szCs w:val="30"/>
        </w:rPr>
        <w:t xml:space="preserve">  养殖水域滩涂功能区划</w:t>
      </w:r>
      <w:r>
        <w:rPr>
          <w:rFonts w:hint="eastAsia" w:ascii="宋体" w:hAnsi="宋体" w:cs="宋体"/>
          <w:b/>
          <w:bCs/>
          <w:sz w:val="30"/>
          <w:szCs w:val="30"/>
        </w:rPr>
        <w:t>图</w:t>
      </w:r>
      <w:r>
        <w:rPr>
          <w:rFonts w:hint="eastAsia" w:ascii="宋体" w:hAnsi="宋体" w:cs="宋体"/>
          <w:b/>
          <w:bCs/>
          <w:sz w:val="30"/>
          <w:szCs w:val="30"/>
        </w:rPr>
        <w:fldChar w:fldCharType="end"/>
      </w:r>
    </w:p>
    <w:p>
      <w:pPr>
        <w:pStyle w:val="2"/>
        <w:ind w:firstLine="964" w:firstLineChars="200"/>
        <w:rPr>
          <w:rFonts w:ascii="Times New Roman" w:hAnsi="Times New Roman" w:cs="Times New Roman"/>
          <w:sz w:val="48"/>
          <w:szCs w:val="48"/>
        </w:rPr>
      </w:pPr>
      <w:bookmarkStart w:id="0" w:name="_Toc32449"/>
      <w:r>
        <w:rPr>
          <w:rFonts w:ascii="Times New Roman" w:hAnsi="Times New Roman" w:cs="Times New Roman"/>
          <w:sz w:val="48"/>
          <w:szCs w:val="48"/>
        </w:rPr>
        <w:t>总    则</w:t>
      </w:r>
      <w:bookmarkEnd w:id="0"/>
    </w:p>
    <w:p>
      <w:pPr>
        <w:pStyle w:val="3"/>
        <w:ind w:firstLine="643"/>
        <w:rPr>
          <w:rFonts w:ascii="Times New Roman" w:hAnsi="Times New Roman" w:cs="Times New Roman"/>
        </w:rPr>
      </w:pPr>
      <w:bookmarkStart w:id="1" w:name="_Toc22820"/>
      <w:r>
        <w:rPr>
          <w:rFonts w:ascii="Times New Roman" w:hAnsi="Times New Roman" w:cs="Times New Roman"/>
        </w:rPr>
        <w:t>前言</w:t>
      </w:r>
      <w:bookmarkEnd w:id="1"/>
    </w:p>
    <w:p>
      <w:pPr>
        <w:spacing w:line="360" w:lineRule="auto"/>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为贯彻落实《中共中央国务院关于加快推进生态文明建设的意见》（中发〔2015〕12号）和《国务院关于印发水污染防治行动计划的通知》（国发〔2015〕17号）的有关要求，农业部、省农委分别出台了《农业部关于印发〈养殖水域滩涂规划编制工作规范〉和〈养殖水域滩涂规划编制大纲〉的通知》（农渔发〔2016〕39号）及《安徽省农业委员会关于开展养殖水域滩涂规划编制修订工作的通知》（皖农渔函〔2017〕110号），对养殖水域滩涂规划编制流程、编制大纲、重要时间节点均提出了明确要求。</w:t>
      </w:r>
    </w:p>
    <w:p>
      <w:r>
        <w:rPr>
          <w:rFonts w:ascii="Times New Roman" w:hAnsi="Times New Roman" w:eastAsia="仿宋_GB2312" w:cs="Times New Roman"/>
          <w:sz w:val="30"/>
          <w:szCs w:val="30"/>
        </w:rPr>
        <w:t>根据相关文件精神，</w:t>
      </w:r>
      <w:r>
        <w:rPr>
          <w:rFonts w:hint="eastAsia" w:ascii="Times New Roman" w:hAnsi="Times New Roman" w:eastAsia="仿宋_GB2312" w:cs="Times New Roman"/>
          <w:sz w:val="30"/>
          <w:szCs w:val="30"/>
        </w:rPr>
        <w:t>市</w:t>
      </w:r>
      <w:r>
        <w:rPr>
          <w:rFonts w:ascii="Times New Roman" w:hAnsi="Times New Roman" w:eastAsia="仿宋_GB2312" w:cs="Times New Roman"/>
          <w:sz w:val="30"/>
          <w:szCs w:val="30"/>
        </w:rPr>
        <w:t>政府成立了《池州市养殖水域滩涂规划</w:t>
      </w:r>
      <w:r>
        <w:rPr>
          <w:rFonts w:ascii="Times New Roman" w:hAnsi="Times New Roman" w:eastAsia="仿宋" w:cs="Times New Roman"/>
          <w:kern w:val="0"/>
          <w:sz w:val="32"/>
          <w:szCs w:val="32"/>
        </w:rPr>
        <w:t>（2018-2030年）</w:t>
      </w:r>
      <w:r>
        <w:rPr>
          <w:rFonts w:ascii="Times New Roman" w:hAnsi="Times New Roman" w:eastAsia="仿宋_GB2312" w:cs="Times New Roman"/>
          <w:sz w:val="30"/>
          <w:szCs w:val="30"/>
        </w:rPr>
        <w:t>》</w:t>
      </w:r>
      <w:r>
        <w:rPr>
          <w:rFonts w:ascii="Times New Roman" w:hAnsi="Times New Roman" w:eastAsia="仿宋_GB2312" w:cs="Times New Roman"/>
          <w:sz w:val="32"/>
          <w:szCs w:val="32"/>
        </w:rPr>
        <w:t>（以下简称《规划》）</w:t>
      </w:r>
      <w:r>
        <w:rPr>
          <w:rFonts w:ascii="Times New Roman" w:hAnsi="Times New Roman" w:eastAsia="仿宋_GB2312" w:cs="Times New Roman"/>
          <w:sz w:val="30"/>
          <w:szCs w:val="30"/>
        </w:rPr>
        <w:t>编制工作领导小组，统筹推进</w:t>
      </w:r>
      <w:r>
        <w:rPr>
          <w:rFonts w:ascii="Times New Roman" w:hAnsi="Times New Roman" w:eastAsia="仿宋_GB2312" w:cs="Times New Roman"/>
          <w:sz w:val="32"/>
          <w:szCs w:val="32"/>
        </w:rPr>
        <w:t>《规划》编制工作</w:t>
      </w:r>
      <w:r>
        <w:rPr>
          <w:rFonts w:ascii="Times New Roman" w:hAnsi="Times New Roman" w:eastAsia="仿宋_GB2312" w:cs="Times New Roman"/>
          <w:sz w:val="30"/>
          <w:szCs w:val="30"/>
        </w:rPr>
        <w:t>。</w:t>
      </w:r>
      <w:r>
        <w:rPr>
          <w:rFonts w:ascii="Times New Roman" w:hAnsi="Times New Roman" w:eastAsia="仿宋_GB2312" w:cs="Times New Roman"/>
          <w:sz w:val="32"/>
          <w:szCs w:val="32"/>
        </w:rPr>
        <w:t>《规划》</w:t>
      </w:r>
      <w:r>
        <w:rPr>
          <w:rFonts w:ascii="Times New Roman" w:hAnsi="Times New Roman" w:eastAsia="仿宋_GB2312" w:cs="Times New Roman"/>
          <w:sz w:val="30"/>
          <w:szCs w:val="30"/>
        </w:rPr>
        <w:t>编制组</w:t>
      </w:r>
      <w:r>
        <w:rPr>
          <w:rFonts w:ascii="Times New Roman" w:hAnsi="Times New Roman" w:eastAsia="仿宋_GB2312" w:cs="Times New Roman"/>
          <w:sz w:val="32"/>
          <w:szCs w:val="32"/>
        </w:rPr>
        <w:t>系统收集有关基础资料，对重点水域滩涂开展实地调研、勘查测量，依据</w:t>
      </w:r>
      <w:r>
        <w:rPr>
          <w:rFonts w:ascii="Times New Roman" w:hAnsi="Times New Roman" w:eastAsia="仿宋_GB2312" w:cs="Times New Roman"/>
          <w:sz w:val="30"/>
          <w:szCs w:val="30"/>
        </w:rPr>
        <w:t>相关法律法规、政策文件及池州市相关上位规划成果，</w:t>
      </w:r>
      <w:r>
        <w:rPr>
          <w:rFonts w:ascii="Times New Roman" w:hAnsi="Times New Roman" w:eastAsia="仿宋_GB2312" w:cs="Times New Roman"/>
          <w:sz w:val="32"/>
          <w:szCs w:val="32"/>
        </w:rPr>
        <w:t>并</w:t>
      </w:r>
      <w:r>
        <w:rPr>
          <w:rFonts w:ascii="Times New Roman" w:hAnsi="Times New Roman" w:eastAsia="仿宋_GB2312" w:cs="Times New Roman"/>
          <w:sz w:val="30"/>
          <w:szCs w:val="30"/>
        </w:rPr>
        <w:t>结合</w:t>
      </w:r>
      <w:r>
        <w:rPr>
          <w:rFonts w:ascii="Times New Roman" w:hAnsi="Times New Roman" w:eastAsia="仿宋_GB2312" w:cs="Times New Roman"/>
          <w:sz w:val="32"/>
          <w:szCs w:val="32"/>
        </w:rPr>
        <w:t>池州市养殖水域滩涂资源现状和全市渔业发展走向，</w:t>
      </w:r>
      <w:r>
        <w:rPr>
          <w:rFonts w:ascii="Times New Roman" w:hAnsi="Times New Roman" w:eastAsia="仿宋_GB2312" w:cs="Times New Roman"/>
          <w:sz w:val="30"/>
          <w:szCs w:val="30"/>
        </w:rPr>
        <w:t>科学划定禁止养殖区、限制养殖区和养殖区。将水域滩涂资源环境保护与渔业发展有机协调，保护水域滩涂生态环境，设定发展底线，稳定基本养殖面积，保障渔民合法权益，促进池州市渔业健康可持续发展。</w:t>
      </w:r>
      <w:r>
        <w:rPr>
          <w:rFonts w:ascii="Times New Roman" w:hAnsi="Times New Roman" w:eastAsia="仿宋_GB2312" w:cs="Times New Roman"/>
          <w:sz w:val="32"/>
          <w:szCs w:val="32"/>
        </w:rPr>
        <w:t>《规划》</w:t>
      </w:r>
      <w:r>
        <w:rPr>
          <w:rFonts w:ascii="Times New Roman" w:hAnsi="Times New Roman" w:eastAsia="仿宋_GB2312" w:cs="Times New Roman"/>
          <w:sz w:val="30"/>
          <w:szCs w:val="30"/>
        </w:rPr>
        <w:t>是全市今后较长时期内水产养殖业健康稳定发展的基石，是水产业与其他行业协调发展的布局依据，是池州市养殖水域滩涂管理的基本制度，是推进全市渔业产业转型升级的重要抓手。</w:t>
      </w:r>
    </w:p>
    <w:p>
      <w:pPr>
        <w:pStyle w:val="3"/>
        <w:ind w:firstLine="643"/>
        <w:rPr>
          <w:rFonts w:ascii="Times New Roman" w:hAnsi="Times New Roman" w:cs="Times New Roman"/>
        </w:rPr>
      </w:pPr>
      <w:bookmarkStart w:id="2" w:name="_Toc1354"/>
      <w:r>
        <w:rPr>
          <w:rFonts w:ascii="Times New Roman" w:hAnsi="Times New Roman" w:cs="Times New Roman"/>
        </w:rPr>
        <w:t>编制依据</w:t>
      </w:r>
      <w:bookmarkEnd w:id="2"/>
    </w:p>
    <w:p>
      <w:pPr>
        <w:pStyle w:val="4"/>
        <w:rPr>
          <w:rFonts w:ascii="Times New Roman" w:hAnsi="Times New Roman" w:cs="Times New Roman"/>
        </w:rPr>
      </w:pPr>
      <w:bookmarkStart w:id="3" w:name="_Toc12162"/>
      <w:r>
        <w:rPr>
          <w:rFonts w:ascii="Times New Roman" w:hAnsi="Times New Roman" w:cs="Times New Roman"/>
        </w:rPr>
        <w:t>有关法律法规</w:t>
      </w:r>
      <w:bookmarkEnd w:id="3"/>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《中华人民共和国渔业法》；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《中华人民共和国土地管理法》；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《中华人民共和国环境保护法》；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《中华人民共和国水污染防治法》；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《中华人民共和国野生动物保护法》；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《中华人民共和国防洪法》；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《中华人民共和国航道法》；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《中华人民共和国港口法》；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lang w:eastAsia="zh-CN"/>
        </w:rPr>
        <w:t>《中华人民共和国长江保护法》；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lang w:eastAsia="zh-CN"/>
        </w:rPr>
        <w:t>《中华人民共和国湿地保护法》；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《中华人民共和国基本农田保护条例》；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《中华人民共和国渔业法实施细则》；</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《中华人民共和国水污染防治法实施细则》；</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《中华人民共和国水生野生动物保护实施条例》；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《饮用水水源保护区污染防治管理规定》；</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《中华人民共和国陆生野生动物保护实施条例》；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《中华人民共和国航道管理条例》；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《中华人民共和国河道管理条例》；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《中华人民共和国自然保护区条例》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《水产养殖质量安全管理规定》；</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《内河渡口渡船安全管理规定》；</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安徽省生态保护红线；</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《安徽省水上交通安全管理条例》；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《安徽省实施&lt;中华人民共和国渔业法&gt;办法》；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《安徽省湖泊管理保护条例》；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《安徽省湿地保护条例》；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《安徽省饮用水水源环境保护条例》；</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《安徽省航道管理办法》；</w:t>
      </w:r>
    </w:p>
    <w:p>
      <w:pPr>
        <w:pStyle w:val="4"/>
        <w:rPr>
          <w:rFonts w:ascii="Times New Roman" w:hAnsi="Times New Roman" w:cs="Times New Roman"/>
        </w:rPr>
      </w:pPr>
      <w:bookmarkStart w:id="4" w:name="_Toc17676"/>
      <w:r>
        <w:rPr>
          <w:rFonts w:ascii="Times New Roman" w:hAnsi="Times New Roman" w:cs="Times New Roman"/>
        </w:rPr>
        <w:t>有关政策文件及规划成果</w:t>
      </w:r>
      <w:bookmarkEnd w:id="4"/>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《中共中央国务院关于加快推进生态文明建设的意见》（中发〔2015〕12号）；</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《国务院关于印发水污染防治行动计划的通知》（国发〔2015〕17号）；</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农业部令2011年 第1号《水产种质资源保护区管理暂行办法》；</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《农业部关于加快推进渔业转方式调结构的指导意见》（农渔发〔2016〕1号）；</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《长江流域综合规划(2012-2030)》；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《长江流域防洪规划》；</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《安徽水功能区划(2004) 》；</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《中共安徽省委、安徽省人民政府关于推进乡村振兴战略的实施意见》（皖发〔2018〕1号）；</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《池州市国民经济和社会发展第十三个五年规划纲要》；</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rPr>
        <w:t>《池州市主体功能区规划（2016-2025）》；</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rPr>
        <w:t>《池州市城市总体规划（2013-2030）》；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rPr>
        <w:t>《池州市土地利用总体规划（2006-2020）》；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《《池州市水功能区划》（2010-2025）；</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lang w:eastAsia="zh-CN"/>
        </w:rPr>
        <w:t>《池州市现代水网规划》；</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rPr>
        <w:t>《池州市生态保护红线区域分布图》；</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w:t>
      </w:r>
      <w:r>
        <w:rPr>
          <w:rFonts w:hint="eastAsia" w:ascii="Times New Roman" w:hAnsi="Times New Roman" w:eastAsia="仿宋" w:cs="Times New Roman"/>
          <w:sz w:val="30"/>
          <w:szCs w:val="30"/>
        </w:rPr>
        <w:t>池州市</w:t>
      </w:r>
      <w:r>
        <w:rPr>
          <w:rFonts w:ascii="Times New Roman" w:hAnsi="Times New Roman" w:eastAsia="仿宋" w:cs="Times New Roman"/>
          <w:sz w:val="30"/>
          <w:szCs w:val="30"/>
        </w:rPr>
        <w:t>国民经济和社会发展第十三个五年规划纲要》；</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w:t>
      </w:r>
      <w:r>
        <w:rPr>
          <w:rFonts w:hint="eastAsia" w:ascii="Times New Roman" w:hAnsi="Times New Roman" w:eastAsia="仿宋" w:cs="Times New Roman"/>
          <w:sz w:val="30"/>
          <w:szCs w:val="30"/>
        </w:rPr>
        <w:t>池州市</w:t>
      </w:r>
      <w:r>
        <w:rPr>
          <w:rFonts w:ascii="Times New Roman" w:hAnsi="Times New Roman" w:eastAsia="仿宋" w:cs="Times New Roman"/>
          <w:sz w:val="30"/>
          <w:szCs w:val="30"/>
        </w:rPr>
        <w:t>“十三五”水利发展规划（2016-2020）》；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w:t>
      </w:r>
      <w:r>
        <w:rPr>
          <w:rFonts w:hint="eastAsia" w:ascii="Times New Roman" w:hAnsi="Times New Roman" w:eastAsia="仿宋" w:cs="Times New Roman"/>
          <w:sz w:val="30"/>
          <w:szCs w:val="30"/>
        </w:rPr>
        <w:t>池州市</w:t>
      </w:r>
      <w:r>
        <w:rPr>
          <w:rFonts w:ascii="Times New Roman" w:hAnsi="Times New Roman" w:eastAsia="仿宋" w:cs="Times New Roman"/>
          <w:sz w:val="30"/>
          <w:szCs w:val="30"/>
        </w:rPr>
        <w:t>“十三五”生态环保规划报告（2016-2020）》；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hint="eastAsia" w:ascii="Times New Roman" w:hAnsi="Times New Roman" w:eastAsia="仿宋" w:cs="Times New Roman"/>
          <w:sz w:val="30"/>
          <w:szCs w:val="30"/>
          <w:lang w:eastAsia="zh-CN"/>
        </w:rPr>
        <w:t>《池州市水利发展“十四五”规划》；</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w:t>
      </w:r>
      <w:r>
        <w:rPr>
          <w:rFonts w:hint="eastAsia" w:ascii="Times New Roman" w:hAnsi="Times New Roman" w:eastAsia="仿宋" w:cs="Times New Roman"/>
          <w:sz w:val="30"/>
          <w:szCs w:val="30"/>
        </w:rPr>
        <w:t>池州市</w:t>
      </w:r>
      <w:r>
        <w:rPr>
          <w:rFonts w:ascii="Times New Roman" w:hAnsi="Times New Roman" w:eastAsia="仿宋" w:cs="Times New Roman"/>
          <w:sz w:val="30"/>
          <w:szCs w:val="30"/>
        </w:rPr>
        <w:t>旅游总体规划（2005-2020）》；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w:t>
      </w:r>
      <w:r>
        <w:rPr>
          <w:rFonts w:hint="eastAsia" w:ascii="Times New Roman" w:hAnsi="Times New Roman" w:eastAsia="仿宋" w:cs="Times New Roman"/>
          <w:sz w:val="30"/>
          <w:szCs w:val="30"/>
        </w:rPr>
        <w:t>池州市</w:t>
      </w:r>
      <w:r>
        <w:rPr>
          <w:rFonts w:ascii="Times New Roman" w:hAnsi="Times New Roman" w:eastAsia="仿宋" w:cs="Times New Roman"/>
          <w:sz w:val="30"/>
          <w:szCs w:val="30"/>
        </w:rPr>
        <w:t>土地整治规划（2016-2020）》；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《安徽升金湖国家级自然保护区总体规划（2011-2020）》；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《池州市</w:t>
      </w:r>
      <w:r>
        <w:rPr>
          <w:rFonts w:hint="eastAsia" w:ascii="Times New Roman" w:hAnsi="Times New Roman" w:eastAsia="仿宋" w:cs="Times New Roman"/>
          <w:sz w:val="30"/>
          <w:szCs w:val="30"/>
        </w:rPr>
        <w:t>池州市</w:t>
      </w:r>
      <w:r>
        <w:rPr>
          <w:rFonts w:ascii="Times New Roman" w:hAnsi="Times New Roman" w:eastAsia="仿宋" w:cs="Times New Roman"/>
          <w:sz w:val="30"/>
          <w:szCs w:val="30"/>
        </w:rPr>
        <w:t>十八索省级自然保护区总体规划》（2012）；</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《黄湓河鰕虎鱼青虾国家级水产种质资源保护区总体规划》（2014）；</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《安徽青阳盘台省级自然保护区</w:t>
      </w:r>
      <w:r>
        <w:rPr>
          <w:rFonts w:hint="eastAsia" w:ascii="Times New Roman" w:hAnsi="Times New Roman" w:eastAsia="仿宋" w:cs="Times New Roman"/>
          <w:sz w:val="30"/>
          <w:szCs w:val="30"/>
          <w:lang w:eastAsia="zh-CN"/>
        </w:rPr>
        <w:t>总体</w:t>
      </w:r>
      <w:r>
        <w:rPr>
          <w:rFonts w:ascii="Times New Roman" w:hAnsi="Times New Roman" w:eastAsia="仿宋" w:cs="Times New Roman"/>
          <w:sz w:val="30"/>
          <w:szCs w:val="30"/>
        </w:rPr>
        <w:t>规划》；</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《安徽池州九华山国家地质公园</w:t>
      </w:r>
      <w:r>
        <w:rPr>
          <w:rFonts w:hint="eastAsia" w:ascii="Times New Roman" w:hAnsi="Times New Roman" w:eastAsia="仿宋" w:cs="Times New Roman"/>
          <w:sz w:val="30"/>
          <w:szCs w:val="30"/>
          <w:lang w:eastAsia="zh-CN"/>
        </w:rPr>
        <w:t>总体</w:t>
      </w:r>
      <w:r>
        <w:rPr>
          <w:rFonts w:ascii="Times New Roman" w:hAnsi="Times New Roman" w:eastAsia="仿宋" w:cs="Times New Roman"/>
          <w:sz w:val="30"/>
          <w:szCs w:val="30"/>
        </w:rPr>
        <w:t>规划》；</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《九华山国家森林公园</w:t>
      </w:r>
      <w:r>
        <w:rPr>
          <w:rFonts w:hint="eastAsia" w:ascii="Times New Roman" w:hAnsi="Times New Roman" w:eastAsia="仿宋" w:cs="Times New Roman"/>
          <w:sz w:val="30"/>
          <w:szCs w:val="30"/>
          <w:lang w:eastAsia="zh-CN"/>
        </w:rPr>
        <w:t>总体</w:t>
      </w:r>
      <w:r>
        <w:rPr>
          <w:rFonts w:ascii="Times New Roman" w:hAnsi="Times New Roman" w:eastAsia="仿宋" w:cs="Times New Roman"/>
          <w:sz w:val="30"/>
          <w:szCs w:val="30"/>
        </w:rPr>
        <w:t>规划》；</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《石台县养殖水域滩涂规划（2018-2030）》；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《东至县养殖水域滩涂规划（2018-2030）》；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《青阳</w:t>
      </w:r>
      <w:r>
        <w:rPr>
          <w:rFonts w:hint="eastAsia" w:ascii="Times New Roman" w:hAnsi="Times New Roman" w:eastAsia="仿宋" w:cs="Times New Roman"/>
          <w:sz w:val="30"/>
          <w:szCs w:val="30"/>
        </w:rPr>
        <w:t>县</w:t>
      </w:r>
      <w:r>
        <w:rPr>
          <w:rFonts w:ascii="Times New Roman" w:hAnsi="Times New Roman" w:eastAsia="仿宋" w:cs="Times New Roman"/>
          <w:sz w:val="30"/>
          <w:szCs w:val="30"/>
        </w:rPr>
        <w:t>养殖水域滩涂规划（2018-2030）》；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w:t>
      </w:r>
      <w:r>
        <w:rPr>
          <w:rFonts w:hint="eastAsia" w:ascii="Times New Roman" w:hAnsi="Times New Roman" w:eastAsia="仿宋" w:cs="Times New Roman"/>
          <w:sz w:val="30"/>
          <w:szCs w:val="30"/>
        </w:rPr>
        <w:t>贵池区</w:t>
      </w:r>
      <w:r>
        <w:rPr>
          <w:rFonts w:ascii="Times New Roman" w:hAnsi="Times New Roman" w:eastAsia="仿宋" w:cs="Times New Roman"/>
          <w:sz w:val="30"/>
          <w:szCs w:val="30"/>
        </w:rPr>
        <w:t>养殖水域滩涂规划（2018-2030）》；</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其他相关政策文件及规划成果。</w:t>
      </w:r>
    </w:p>
    <w:p>
      <w:pPr>
        <w:pStyle w:val="4"/>
        <w:rPr>
          <w:rFonts w:ascii="Times New Roman" w:hAnsi="Times New Roman" w:cs="Times New Roman"/>
        </w:rPr>
      </w:pPr>
      <w:bookmarkStart w:id="5" w:name="_Toc10059"/>
      <w:r>
        <w:rPr>
          <w:rFonts w:ascii="Times New Roman" w:hAnsi="Times New Roman" w:cs="Times New Roman"/>
        </w:rPr>
        <w:t>规范性文件</w:t>
      </w:r>
      <w:bookmarkEnd w:id="5"/>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《农业部关于印发&lt;养殖水域滩涂规划编制工作规范&gt;和&lt;养殖水域滩涂规划编制大纲&gt;的通知》(农渔发〔2016〕39号)</w:t>
      </w:r>
      <w:r>
        <w:rPr>
          <w:rFonts w:hint="eastAsia" w:ascii="Times New Roman" w:hAnsi="Times New Roman" w:eastAsia="仿宋" w:cs="Times New Roman"/>
          <w:sz w:val="30"/>
          <w:szCs w:val="30"/>
        </w:rPr>
        <w:t>；</w:t>
      </w:r>
    </w:p>
    <w:p>
      <w:pPr>
        <w:pStyle w:val="12"/>
        <w:numPr>
          <w:ilvl w:val="0"/>
          <w:numId w:val="4"/>
        </w:numPr>
        <w:spacing w:line="360" w:lineRule="auto"/>
        <w:ind w:left="0" w:firstLine="600"/>
        <w:jc w:val="left"/>
        <w:rPr>
          <w:rFonts w:ascii="Times New Roman" w:hAnsi="Times New Roman" w:eastAsia="仿宋" w:cs="Times New Roman"/>
          <w:sz w:val="30"/>
          <w:szCs w:val="30"/>
        </w:rPr>
      </w:pPr>
      <w:r>
        <w:rPr>
          <w:rFonts w:ascii="Times New Roman" w:hAnsi="Times New Roman" w:eastAsia="仿宋" w:cs="Times New Roman"/>
          <w:sz w:val="30"/>
          <w:szCs w:val="30"/>
        </w:rPr>
        <w:t>《安徽省农业委员会关于开展养殖水域滩涂规划编制修订工作的通知》（皖农渔函〔2017〕110号）。</w:t>
      </w:r>
    </w:p>
    <w:p>
      <w:pPr>
        <w:pStyle w:val="3"/>
        <w:ind w:firstLine="643"/>
        <w:rPr>
          <w:rFonts w:ascii="Times New Roman" w:hAnsi="Times New Roman" w:cs="Times New Roman"/>
        </w:rPr>
      </w:pPr>
      <w:bookmarkStart w:id="6" w:name="_Toc14760"/>
      <w:r>
        <w:rPr>
          <w:rFonts w:ascii="Times New Roman" w:hAnsi="Times New Roman" w:cs="Times New Roman"/>
        </w:rPr>
        <w:t>目标任务</w:t>
      </w:r>
      <w:bookmarkEnd w:id="6"/>
    </w:p>
    <w:p>
      <w:pPr>
        <w:pStyle w:val="4"/>
        <w:rPr>
          <w:rFonts w:ascii="Times New Roman" w:hAnsi="Times New Roman" w:cs="Times New Roman"/>
        </w:rPr>
      </w:pPr>
      <w:bookmarkStart w:id="7" w:name="_Toc12852"/>
      <w:r>
        <w:rPr>
          <w:rFonts w:ascii="Times New Roman" w:hAnsi="Times New Roman" w:cs="Times New Roman"/>
        </w:rPr>
        <w:t>规划期限</w:t>
      </w:r>
      <w:bookmarkEnd w:id="7"/>
    </w:p>
    <w:p>
      <w:pPr>
        <w:spacing w:line="360" w:lineRule="auto"/>
        <w:ind w:firstLine="600" w:firstLineChars="200"/>
        <w:rPr>
          <w:rFonts w:ascii="Times New Roman" w:hAnsi="Times New Roman" w:eastAsia="仿宋" w:cs="Times New Roman"/>
          <w:sz w:val="30"/>
          <w:szCs w:val="30"/>
        </w:rPr>
      </w:pPr>
      <w:r>
        <w:rPr>
          <w:rFonts w:ascii="Times New Roman" w:hAnsi="Times New Roman" w:eastAsia="仿宋" w:cs="Times New Roman"/>
          <w:sz w:val="30"/>
          <w:szCs w:val="30"/>
        </w:rPr>
        <w:t>规划基准年2018年，近期水平年为2025年，远期水平年为2030年。</w:t>
      </w:r>
    </w:p>
    <w:p>
      <w:pPr>
        <w:pStyle w:val="4"/>
        <w:rPr>
          <w:rFonts w:ascii="Times New Roman" w:hAnsi="Times New Roman" w:cs="Times New Roman"/>
        </w:rPr>
      </w:pPr>
      <w:bookmarkStart w:id="8" w:name="_Toc26841"/>
      <w:r>
        <w:rPr>
          <w:rFonts w:ascii="Times New Roman" w:hAnsi="Times New Roman" w:cs="Times New Roman"/>
        </w:rPr>
        <w:t>规划目标</w:t>
      </w:r>
      <w:bookmarkEnd w:id="8"/>
    </w:p>
    <w:p>
      <w:pPr>
        <w:spacing w:line="360" w:lineRule="auto"/>
        <w:ind w:firstLine="600" w:firstLineChars="200"/>
        <w:rPr>
          <w:rFonts w:ascii="Times New Roman" w:hAnsi="Times New Roman" w:eastAsia="仿宋_GB2312" w:cs="Times New Roman"/>
          <w:sz w:val="30"/>
          <w:szCs w:val="30"/>
        </w:rPr>
      </w:pPr>
      <w:r>
        <w:rPr>
          <w:rFonts w:ascii="Times New Roman" w:hAnsi="Times New Roman" w:eastAsia="仿宋_GB2312" w:cs="Times New Roman"/>
          <w:bCs/>
          <w:sz w:val="30"/>
          <w:szCs w:val="30"/>
        </w:rPr>
        <w:t>在科学评价全市水域滩涂资源禀赋和环境承载力的基础上，科学划定各类养殖功能区范围，合理布局全市水产养殖生产，稳定基本养殖水域，保障农民合法权益，保护水域生态环境，确保水产品有效供给安全、环境生态安全和产品质量安全。规划实施后，适时开展全市养殖水域滩涂勘测、登记备案工作，建立健全养殖水域滩涂使用审批、使用权交易等管理制度</w:t>
      </w:r>
      <w:r>
        <w:rPr>
          <w:rFonts w:hint="eastAsia" w:ascii="Times New Roman" w:hAnsi="Times New Roman" w:eastAsia="仿宋_GB2312" w:cs="Times New Roman"/>
          <w:bCs/>
          <w:sz w:val="30"/>
          <w:szCs w:val="30"/>
        </w:rPr>
        <w:t>。</w:t>
      </w:r>
      <w:r>
        <w:rPr>
          <w:rFonts w:ascii="Times New Roman" w:hAnsi="Times New Roman" w:eastAsia="仿宋_GB2312" w:cs="Times New Roman"/>
          <w:bCs/>
          <w:sz w:val="30"/>
          <w:szCs w:val="30"/>
        </w:rPr>
        <w:t>20</w:t>
      </w:r>
      <w:r>
        <w:rPr>
          <w:rFonts w:hint="eastAsia" w:ascii="Times New Roman" w:hAnsi="Times New Roman" w:eastAsia="仿宋_GB2312" w:cs="Times New Roman"/>
          <w:bCs/>
          <w:sz w:val="30"/>
          <w:szCs w:val="30"/>
        </w:rPr>
        <w:t>25</w:t>
      </w:r>
      <w:r>
        <w:rPr>
          <w:rFonts w:ascii="Times New Roman" w:hAnsi="Times New Roman" w:eastAsia="仿宋_GB2312" w:cs="Times New Roman"/>
          <w:bCs/>
          <w:sz w:val="30"/>
          <w:szCs w:val="30"/>
        </w:rPr>
        <w:t>年12月底前完成全市全民和集体所有养殖水域滩涂承包经营权的确权工作</w:t>
      </w:r>
      <w:r>
        <w:rPr>
          <w:rFonts w:hint="eastAsia" w:ascii="Times New Roman" w:hAnsi="Times New Roman" w:eastAsia="仿宋_GB2312" w:cs="Times New Roman"/>
          <w:bCs/>
          <w:sz w:val="30"/>
          <w:szCs w:val="30"/>
        </w:rPr>
        <w:t>；</w:t>
      </w:r>
      <w:r>
        <w:rPr>
          <w:rFonts w:ascii="Times New Roman" w:hAnsi="Times New Roman" w:eastAsia="仿宋_GB2312" w:cs="Times New Roman"/>
          <w:bCs/>
          <w:sz w:val="30"/>
          <w:szCs w:val="30"/>
        </w:rPr>
        <w:t>规范养殖区水域滩涂养殖发证登记工作，做到应发尽发</w:t>
      </w:r>
      <w:r>
        <w:rPr>
          <w:rFonts w:hint="eastAsia" w:ascii="Times New Roman" w:hAnsi="Times New Roman" w:eastAsia="仿宋_GB2312" w:cs="Times New Roman"/>
          <w:bCs/>
          <w:sz w:val="30"/>
          <w:szCs w:val="30"/>
        </w:rPr>
        <w:t>；</w:t>
      </w:r>
      <w:r>
        <w:rPr>
          <w:rFonts w:ascii="Times New Roman" w:hAnsi="Times New Roman" w:eastAsia="仿宋_GB2312" w:cs="Times New Roman"/>
          <w:bCs/>
          <w:sz w:val="30"/>
          <w:szCs w:val="30"/>
        </w:rPr>
        <w:t>完成全市禁止养殖区内养殖场搬迁关停工作。初步形成与全市养殖水域滩涂承载力相匹配的渔业绿色生产方式，实现渔业健康协调发展。</w:t>
      </w:r>
      <w:r>
        <w:rPr>
          <w:rFonts w:ascii="Times New Roman" w:hAnsi="Times New Roman" w:eastAsia="仿宋_GB2312" w:cs="Times New Roman"/>
          <w:sz w:val="30"/>
          <w:szCs w:val="30"/>
        </w:rPr>
        <w:t>规划期内</w:t>
      </w:r>
      <w:r>
        <w:rPr>
          <w:rFonts w:ascii="Times New Roman" w:hAnsi="Times New Roman" w:eastAsia="仿宋_GB2312" w:cs="Times New Roman"/>
          <w:bCs/>
          <w:sz w:val="30"/>
          <w:szCs w:val="30"/>
        </w:rPr>
        <w:t>建立</w:t>
      </w:r>
      <w:r>
        <w:rPr>
          <w:rFonts w:ascii="Times New Roman" w:hAnsi="Times New Roman" w:eastAsia="仿宋_GB2312" w:cs="Times New Roman"/>
          <w:sz w:val="30"/>
          <w:szCs w:val="30"/>
        </w:rPr>
        <w:t>全市养殖</w:t>
      </w:r>
      <w:r>
        <w:rPr>
          <w:rFonts w:ascii="Times New Roman" w:hAnsi="Times New Roman" w:eastAsia="仿宋_GB2312" w:cs="Times New Roman"/>
          <w:bCs/>
          <w:sz w:val="30"/>
          <w:szCs w:val="30"/>
        </w:rPr>
        <w:t>水域滩涂资源长效保护机制，水产</w:t>
      </w:r>
      <w:r>
        <w:rPr>
          <w:rFonts w:ascii="Times New Roman" w:hAnsi="Times New Roman" w:eastAsia="仿宋_GB2312" w:cs="Times New Roman"/>
          <w:sz w:val="30"/>
          <w:szCs w:val="30"/>
        </w:rPr>
        <w:t>养殖面积基本稳定</w:t>
      </w:r>
      <w:r>
        <w:rPr>
          <w:rFonts w:ascii="Times New Roman" w:hAnsi="Times New Roman" w:eastAsia="仿宋_GB2312" w:cs="Times New Roman"/>
          <w:bCs/>
          <w:sz w:val="30"/>
          <w:szCs w:val="30"/>
        </w:rPr>
        <w:t>。</w:t>
      </w:r>
    </w:p>
    <w:p>
      <w:pPr>
        <w:pStyle w:val="4"/>
        <w:rPr>
          <w:rFonts w:ascii="Times New Roman" w:hAnsi="Times New Roman" w:cs="Times New Roman"/>
        </w:rPr>
      </w:pPr>
      <w:bookmarkStart w:id="9" w:name="_Toc5758"/>
      <w:r>
        <w:rPr>
          <w:rFonts w:ascii="Times New Roman" w:hAnsi="Times New Roman" w:cs="Times New Roman"/>
        </w:rPr>
        <w:t>重点任务</w:t>
      </w:r>
      <w:bookmarkEnd w:id="9"/>
    </w:p>
    <w:p>
      <w:pPr>
        <w:spacing w:line="360" w:lineRule="auto"/>
        <w:ind w:firstLine="602" w:firstLineChars="200"/>
        <w:rPr>
          <w:rFonts w:ascii="Times New Roman" w:hAnsi="Times New Roman" w:eastAsia="仿宋_GB2312" w:cs="Times New Roman"/>
          <w:b/>
          <w:sz w:val="30"/>
          <w:szCs w:val="30"/>
        </w:rPr>
      </w:pPr>
      <w:r>
        <w:rPr>
          <w:rFonts w:ascii="Times New Roman" w:hAnsi="Times New Roman" w:eastAsia="仿宋_GB2312" w:cs="Times New Roman"/>
          <w:b/>
          <w:sz w:val="30"/>
          <w:szCs w:val="30"/>
        </w:rPr>
        <w:t>近期（2018-2020年），完善养殖水域滩涂管理制度</w:t>
      </w:r>
    </w:p>
    <w:p>
      <w:pPr>
        <w:spacing w:line="360" w:lineRule="auto"/>
        <w:ind w:firstLine="600" w:firstLineChars="200"/>
        <w:rPr>
          <w:rFonts w:ascii="Times New Roman" w:hAnsi="Times New Roman" w:eastAsia="仿宋_GB2312" w:cs="Times New Roman"/>
          <w:bCs/>
          <w:sz w:val="30"/>
          <w:szCs w:val="30"/>
        </w:rPr>
      </w:pPr>
      <w:r>
        <w:rPr>
          <w:rFonts w:ascii="Times New Roman" w:hAnsi="Times New Roman" w:eastAsia="仿宋_GB2312" w:cs="Times New Roman"/>
          <w:bCs/>
          <w:sz w:val="30"/>
          <w:szCs w:val="30"/>
        </w:rPr>
        <w:t>完善全民所有养殖水域滩涂使用审批制度，规范水域滩涂养殖登记发证工作。</w:t>
      </w:r>
      <w:r>
        <w:rPr>
          <w:rFonts w:ascii="Times New Roman" w:hAnsi="Times New Roman" w:eastAsia="仿宋_GB2312" w:cs="Times New Roman"/>
          <w:sz w:val="30"/>
          <w:szCs w:val="30"/>
        </w:rPr>
        <w:t>对禁止养殖区内的水产养殖企业，限期搬迁或关停；限制养殖区内污染物排放符合国家和地方规定的污染物排放标准。查处无证养殖和非法侵占养殖水域滩涂行为，规范养殖水域滩涂开发利用秩序。加强湖泊河流天然水域渔政管理，打击非法养殖和捕捞行为。</w:t>
      </w:r>
      <w:r>
        <w:rPr>
          <w:rFonts w:ascii="Times New Roman" w:hAnsi="Times New Roman" w:eastAsia="仿宋_GB2312" w:cs="Times New Roman"/>
          <w:bCs/>
          <w:sz w:val="30"/>
          <w:szCs w:val="30"/>
        </w:rPr>
        <w:t>根据规划布局，2019年12月底前完成限制养殖区养殖水域滩涂登记备案工作及养殖区养殖水域滩涂确权登记工作；健全养殖水域滩涂使用权的招、拍、挂等交易制度。</w:t>
      </w:r>
    </w:p>
    <w:p>
      <w:pPr>
        <w:spacing w:line="360" w:lineRule="auto"/>
        <w:ind w:firstLine="602" w:firstLineChars="200"/>
        <w:rPr>
          <w:rFonts w:ascii="Times New Roman" w:hAnsi="Times New Roman" w:eastAsia="仿宋_GB2312" w:cs="Times New Roman"/>
          <w:b/>
          <w:sz w:val="30"/>
          <w:szCs w:val="30"/>
        </w:rPr>
      </w:pPr>
      <w:r>
        <w:rPr>
          <w:rFonts w:ascii="Times New Roman" w:hAnsi="Times New Roman" w:eastAsia="仿宋_GB2312" w:cs="Times New Roman"/>
          <w:b/>
          <w:sz w:val="30"/>
          <w:szCs w:val="30"/>
        </w:rPr>
        <w:t>中期（2021-2025年），进一步促进渔业转型升级</w:t>
      </w:r>
    </w:p>
    <w:p>
      <w:pPr>
        <w:spacing w:line="360" w:lineRule="auto"/>
        <w:ind w:firstLine="600" w:firstLineChars="200"/>
        <w:rPr>
          <w:rFonts w:ascii="Times New Roman" w:hAnsi="Times New Roman" w:eastAsia="仿宋_GB2312" w:cs="Times New Roman"/>
          <w:bCs/>
          <w:sz w:val="30"/>
          <w:szCs w:val="30"/>
        </w:rPr>
      </w:pPr>
      <w:r>
        <w:rPr>
          <w:rFonts w:ascii="Times New Roman" w:hAnsi="Times New Roman" w:eastAsia="仿宋_GB2312" w:cs="Times New Roman"/>
          <w:bCs/>
          <w:sz w:val="30"/>
          <w:szCs w:val="30"/>
        </w:rPr>
        <w:t>通过示范引领，进一步推动全市养殖区发展绿色生态渔业，加速渔业一、二、三产融合发展。20</w:t>
      </w:r>
      <w:r>
        <w:rPr>
          <w:rFonts w:hint="eastAsia" w:ascii="Times New Roman" w:hAnsi="Times New Roman" w:eastAsia="仿宋_GB2312" w:cs="Times New Roman"/>
          <w:bCs/>
          <w:sz w:val="30"/>
          <w:szCs w:val="30"/>
        </w:rPr>
        <w:t>25</w:t>
      </w:r>
      <w:r>
        <w:rPr>
          <w:rFonts w:ascii="Times New Roman" w:hAnsi="Times New Roman" w:eastAsia="仿宋_GB2312" w:cs="Times New Roman"/>
          <w:bCs/>
          <w:sz w:val="30"/>
          <w:szCs w:val="30"/>
        </w:rPr>
        <w:t>年12月底前完成全市全民和集体所有养殖水域滩涂承包经营权的确权工作</w:t>
      </w:r>
      <w:r>
        <w:rPr>
          <w:rFonts w:hint="eastAsia" w:ascii="Times New Roman" w:hAnsi="Times New Roman" w:eastAsia="仿宋_GB2312" w:cs="Times New Roman"/>
          <w:bCs/>
          <w:sz w:val="30"/>
          <w:szCs w:val="30"/>
        </w:rPr>
        <w:t>；</w:t>
      </w:r>
      <w:r>
        <w:rPr>
          <w:rFonts w:ascii="Times New Roman" w:hAnsi="Times New Roman" w:eastAsia="仿宋_GB2312" w:cs="Times New Roman"/>
          <w:bCs/>
          <w:sz w:val="30"/>
          <w:szCs w:val="30"/>
        </w:rPr>
        <w:t>规范养殖区水域滩涂养殖发证登记工作，做到应发尽发</w:t>
      </w:r>
      <w:r>
        <w:rPr>
          <w:rFonts w:hint="eastAsia" w:ascii="Times New Roman" w:hAnsi="Times New Roman" w:eastAsia="仿宋_GB2312" w:cs="Times New Roman"/>
          <w:bCs/>
          <w:sz w:val="30"/>
          <w:szCs w:val="30"/>
        </w:rPr>
        <w:t>；</w:t>
      </w:r>
      <w:r>
        <w:rPr>
          <w:rFonts w:ascii="Times New Roman" w:hAnsi="Times New Roman" w:eastAsia="仿宋_GB2312" w:cs="Times New Roman"/>
          <w:bCs/>
          <w:sz w:val="30"/>
          <w:szCs w:val="30"/>
        </w:rPr>
        <w:t>完成全市禁止养殖区内养殖场搬迁关</w:t>
      </w:r>
      <w:r>
        <w:rPr>
          <w:rFonts w:ascii="Times New Roman" w:hAnsi="Times New Roman" w:eastAsia="仿宋_GB2312" w:cs="Times New Roman"/>
          <w:sz w:val="30"/>
          <w:szCs w:val="30"/>
        </w:rPr>
        <w:t>停工作。</w:t>
      </w:r>
      <w:r>
        <w:rPr>
          <w:rFonts w:hint="eastAsia" w:ascii="Times New Roman" w:hAnsi="Times New Roman" w:eastAsia="仿宋_GB2312" w:cs="Times New Roman"/>
          <w:sz w:val="30"/>
          <w:szCs w:val="30"/>
        </w:rPr>
        <w:t>建立池州鳜鱼良种选育基地、发展生态养殖、加工及休闲渔业等，形成特色三产融合产业链。</w:t>
      </w:r>
      <w:r>
        <w:rPr>
          <w:rFonts w:ascii="Times New Roman" w:hAnsi="Times New Roman" w:eastAsia="仿宋_GB2312" w:cs="Times New Roman"/>
          <w:sz w:val="30"/>
          <w:szCs w:val="30"/>
        </w:rPr>
        <w:t>初步形成与池州水域滩涂承载力相匹配的绿色健康生产方式，</w:t>
      </w:r>
      <w:r>
        <w:rPr>
          <w:rFonts w:ascii="Times New Roman" w:hAnsi="Times New Roman" w:eastAsia="仿宋_GB2312" w:cs="Times New Roman"/>
          <w:bCs/>
          <w:sz w:val="30"/>
          <w:szCs w:val="30"/>
        </w:rPr>
        <w:t>实现渔业提质增效和健康协调发展。</w:t>
      </w:r>
    </w:p>
    <w:p>
      <w:pPr>
        <w:spacing w:line="360" w:lineRule="auto"/>
        <w:ind w:firstLine="602" w:firstLineChars="200"/>
        <w:rPr>
          <w:rFonts w:ascii="Times New Roman" w:hAnsi="Times New Roman" w:eastAsia="仿宋_GB2312" w:cs="Times New Roman"/>
          <w:b/>
          <w:sz w:val="30"/>
          <w:szCs w:val="30"/>
        </w:rPr>
      </w:pPr>
      <w:r>
        <w:rPr>
          <w:rFonts w:ascii="Times New Roman" w:hAnsi="Times New Roman" w:eastAsia="仿宋_GB2312" w:cs="Times New Roman"/>
          <w:b/>
          <w:sz w:val="30"/>
          <w:szCs w:val="30"/>
        </w:rPr>
        <w:t>远期（2026-2030年），强化水域滩涂资源保护和生态修复</w:t>
      </w:r>
    </w:p>
    <w:p>
      <w:pPr>
        <w:spacing w:line="360" w:lineRule="auto"/>
        <w:ind w:firstLine="600" w:firstLineChars="200"/>
        <w:rPr>
          <w:rFonts w:ascii="Times New Roman" w:hAnsi="Times New Roman" w:eastAsia="仿宋_GB2312" w:cs="Times New Roman"/>
          <w:bCs/>
          <w:sz w:val="30"/>
          <w:szCs w:val="30"/>
        </w:rPr>
      </w:pPr>
      <w:r>
        <w:rPr>
          <w:rFonts w:ascii="Times New Roman" w:hAnsi="Times New Roman" w:eastAsia="仿宋_GB2312" w:cs="Times New Roman"/>
          <w:sz w:val="30"/>
          <w:szCs w:val="30"/>
        </w:rPr>
        <w:t>加强养殖区水环境监测，重点区域建立渔业资源环境基础信息数据库；公共水域实施人工增殖放流，</w:t>
      </w:r>
      <w:r>
        <w:rPr>
          <w:rFonts w:hint="eastAsia" w:ascii="Times New Roman" w:hAnsi="Times New Roman" w:eastAsia="仿宋_GB2312" w:cs="Times New Roman"/>
          <w:sz w:val="30"/>
          <w:szCs w:val="30"/>
        </w:rPr>
        <w:t>对有工程实施的保护水域进行有序生态修复，</w:t>
      </w:r>
      <w:r>
        <w:rPr>
          <w:rFonts w:ascii="Times New Roman" w:hAnsi="Times New Roman" w:eastAsia="仿宋_GB2312" w:cs="Times New Roman"/>
          <w:sz w:val="30"/>
          <w:szCs w:val="30"/>
        </w:rPr>
        <w:t>改善水生态环境，有效保护水</w:t>
      </w:r>
      <w:r>
        <w:rPr>
          <w:rFonts w:ascii="Times New Roman" w:hAnsi="Times New Roman" w:eastAsia="仿宋_GB2312" w:cs="Times New Roman"/>
          <w:bCs/>
          <w:sz w:val="30"/>
          <w:szCs w:val="30"/>
        </w:rPr>
        <w:t>域滩涂资源环境，实现渔业利用、城乡发展与湿地生态保护相协调，为池州市社会经济可持续发展提供有力的生态支撑。</w:t>
      </w:r>
    </w:p>
    <w:p>
      <w:pPr>
        <w:pStyle w:val="3"/>
        <w:ind w:firstLine="643"/>
        <w:rPr>
          <w:rFonts w:ascii="Times New Roman" w:hAnsi="Times New Roman" w:cs="Times New Roman"/>
        </w:rPr>
      </w:pPr>
      <w:bookmarkStart w:id="10" w:name="_Toc16776"/>
      <w:r>
        <w:rPr>
          <w:rFonts w:ascii="Times New Roman" w:hAnsi="Times New Roman" w:cs="Times New Roman"/>
        </w:rPr>
        <w:t>基本原则</w:t>
      </w:r>
      <w:bookmarkEnd w:id="10"/>
    </w:p>
    <w:p>
      <w:pPr>
        <w:spacing w:line="600" w:lineRule="exact"/>
        <w:ind w:firstLine="600" w:firstLineChars="200"/>
        <w:rPr>
          <w:rFonts w:ascii="Times New Roman" w:hAnsi="Times New Roman" w:eastAsia="仿宋_GB2312" w:cs="Times New Roman"/>
          <w:sz w:val="30"/>
          <w:szCs w:val="30"/>
        </w:rPr>
      </w:pPr>
      <w:r>
        <w:rPr>
          <w:rFonts w:ascii="Times New Roman" w:hAnsi="Times New Roman" w:eastAsia="黑体" w:cs="Times New Roman"/>
          <w:sz w:val="30"/>
          <w:szCs w:val="30"/>
        </w:rPr>
        <w:t>——</w:t>
      </w:r>
      <w:r>
        <w:rPr>
          <w:rFonts w:ascii="Times New Roman" w:hAnsi="Times New Roman" w:eastAsia="楷体_GB2312" w:cs="Times New Roman"/>
          <w:b/>
          <w:sz w:val="30"/>
          <w:szCs w:val="30"/>
        </w:rPr>
        <w:t>坚持科学规划、因地制宜的原则。</w:t>
      </w:r>
      <w:r>
        <w:rPr>
          <w:rFonts w:ascii="Times New Roman" w:hAnsi="Times New Roman" w:eastAsia="仿宋_GB2312" w:cs="Times New Roman"/>
          <w:sz w:val="30"/>
          <w:szCs w:val="30"/>
        </w:rPr>
        <w:t>根据池州市水域滩涂承载力评价结果和水产养殖产业发展需求，形成全市养殖水域滩涂开发利用和保护的总体思路，根据规划编制工作规范和大纲的具体要求，合理布局水产养殖生产，制定本区域养殖水域滩涂使用管理的具体措施，科学编制规划。</w:t>
      </w:r>
    </w:p>
    <w:p>
      <w:pPr>
        <w:spacing w:line="600" w:lineRule="exact"/>
        <w:ind w:firstLine="600" w:firstLineChars="200"/>
        <w:rPr>
          <w:rFonts w:ascii="Times New Roman" w:hAnsi="Times New Roman" w:eastAsia="仿宋_GB2312" w:cs="Times New Roman"/>
          <w:sz w:val="30"/>
          <w:szCs w:val="30"/>
        </w:rPr>
      </w:pPr>
      <w:r>
        <w:rPr>
          <w:rFonts w:ascii="Times New Roman" w:hAnsi="Times New Roman" w:eastAsia="黑体" w:cs="Times New Roman"/>
          <w:sz w:val="30"/>
          <w:szCs w:val="30"/>
        </w:rPr>
        <w:t>——</w:t>
      </w:r>
      <w:r>
        <w:rPr>
          <w:rFonts w:ascii="Times New Roman" w:hAnsi="Times New Roman" w:eastAsia="楷体_GB2312" w:cs="Times New Roman"/>
          <w:b/>
          <w:sz w:val="30"/>
          <w:szCs w:val="30"/>
        </w:rPr>
        <w:t>坚持生态优先、底线约束的原则</w:t>
      </w:r>
      <w:r>
        <w:rPr>
          <w:rFonts w:ascii="Times New Roman" w:hAnsi="Times New Roman" w:eastAsia="仿宋_GB2312" w:cs="Times New Roman"/>
          <w:sz w:val="30"/>
          <w:szCs w:val="30"/>
        </w:rPr>
        <w:t>。坚持走生产发展、生活富裕、生态良好的文明发展道路，科学开展水域滩涂利用评价，保护水域滩涂生态环境，合理安排产业发展空间。将饮用水水源地、重要湖泊、河流、水库及自然保护区等重要生态保护或公共安全“红线”和“黄线”区域作为禁止或限制养殖区，设定发展底线。</w:t>
      </w:r>
    </w:p>
    <w:p>
      <w:pPr>
        <w:spacing w:line="600" w:lineRule="exact"/>
        <w:ind w:firstLine="600" w:firstLineChars="200"/>
        <w:rPr>
          <w:rFonts w:ascii="Times New Roman" w:hAnsi="Times New Roman" w:eastAsia="仿宋_GB2312" w:cs="Times New Roman"/>
          <w:sz w:val="30"/>
          <w:szCs w:val="30"/>
        </w:rPr>
      </w:pPr>
      <w:r>
        <w:rPr>
          <w:rFonts w:ascii="Times New Roman" w:hAnsi="Times New Roman" w:eastAsia="黑体" w:cs="Times New Roman"/>
          <w:sz w:val="30"/>
          <w:szCs w:val="30"/>
        </w:rPr>
        <w:t>——</w:t>
      </w:r>
      <w:r>
        <w:rPr>
          <w:rFonts w:ascii="Times New Roman" w:hAnsi="Times New Roman" w:eastAsia="楷体_GB2312" w:cs="Times New Roman"/>
          <w:b/>
          <w:sz w:val="30"/>
          <w:szCs w:val="30"/>
        </w:rPr>
        <w:t>坚持合理布局、转调结合的原则。</w:t>
      </w:r>
      <w:r>
        <w:rPr>
          <w:rFonts w:ascii="Times New Roman" w:hAnsi="Times New Roman" w:eastAsia="仿宋_GB2312" w:cs="Times New Roman"/>
          <w:sz w:val="30"/>
          <w:szCs w:val="30"/>
        </w:rPr>
        <w:t>稳定淡水池塘养殖，取缔河流、湖泊、水库网箱或围栏养殖，发展生态增殖，支持设施养殖向工厂化循环水方向发展，发展稻田综合种养和低洼滩涂地</w:t>
      </w:r>
      <w:r>
        <w:rPr>
          <w:rFonts w:hint="eastAsia" w:ascii="Times New Roman" w:hAnsi="Times New Roman" w:eastAsia="仿宋_GB2312" w:cs="Times New Roman"/>
          <w:sz w:val="30"/>
          <w:szCs w:val="30"/>
        </w:rPr>
        <w:t>健康</w:t>
      </w:r>
      <w:r>
        <w:rPr>
          <w:rFonts w:ascii="Times New Roman" w:hAnsi="Times New Roman" w:eastAsia="仿宋_GB2312" w:cs="Times New Roman"/>
          <w:sz w:val="30"/>
          <w:szCs w:val="30"/>
        </w:rPr>
        <w:t>养殖，实现养殖水域滩涂的整体规划、合理储备、有序利用、协调发展。</w:t>
      </w:r>
    </w:p>
    <w:p>
      <w:pPr>
        <w:spacing w:line="600" w:lineRule="exact"/>
        <w:ind w:firstLine="602" w:firstLineChars="200"/>
        <w:rPr>
          <w:rFonts w:ascii="Times New Roman" w:hAnsi="Times New Roman" w:eastAsia="仿宋_GB2312" w:cs="Times New Roman"/>
          <w:sz w:val="32"/>
          <w:szCs w:val="32"/>
        </w:rPr>
      </w:pPr>
      <w:r>
        <w:rPr>
          <w:rFonts w:ascii="Times New Roman" w:hAnsi="Times New Roman" w:eastAsia="楷体_GB2312" w:cs="Times New Roman"/>
          <w:b/>
          <w:sz w:val="30"/>
          <w:szCs w:val="30"/>
        </w:rPr>
        <w:t>——坚持总体协调、横向衔接的原则。</w:t>
      </w:r>
      <w:r>
        <w:rPr>
          <w:rFonts w:ascii="Times New Roman" w:hAnsi="Times New Roman" w:eastAsia="仿宋_GB2312" w:cs="Times New Roman"/>
          <w:sz w:val="30"/>
          <w:szCs w:val="30"/>
        </w:rPr>
        <w:t>与</w:t>
      </w:r>
      <w:r>
        <w:rPr>
          <w:rFonts w:ascii="Times New Roman" w:hAnsi="Times New Roman" w:eastAsia="仿宋" w:cs="Times New Roman"/>
          <w:sz w:val="30"/>
          <w:szCs w:val="30"/>
        </w:rPr>
        <w:t>《池州市主体功能区规划（2016-2025）》</w:t>
      </w:r>
      <w:r>
        <w:rPr>
          <w:rFonts w:hint="eastAsia" w:ascii="Times New Roman" w:hAnsi="Times New Roman" w:eastAsia="仿宋" w:cs="Times New Roman"/>
          <w:sz w:val="30"/>
          <w:szCs w:val="30"/>
        </w:rPr>
        <w:t>、</w:t>
      </w:r>
      <w:r>
        <w:rPr>
          <w:rFonts w:ascii="Times New Roman" w:hAnsi="Times New Roman" w:eastAsia="仿宋" w:cs="Times New Roman"/>
          <w:sz w:val="30"/>
          <w:szCs w:val="30"/>
        </w:rPr>
        <w:t>《池州市城市总体规划（2013-2030）》</w:t>
      </w:r>
      <w:r>
        <w:rPr>
          <w:rFonts w:hint="eastAsia" w:ascii="Times New Roman" w:hAnsi="Times New Roman" w:eastAsia="仿宋" w:cs="Times New Roman"/>
          <w:sz w:val="30"/>
          <w:szCs w:val="30"/>
        </w:rPr>
        <w:t>、</w:t>
      </w:r>
      <w:r>
        <w:rPr>
          <w:rFonts w:ascii="Times New Roman" w:hAnsi="Times New Roman" w:eastAsia="仿宋" w:cs="Times New Roman"/>
          <w:sz w:val="30"/>
          <w:szCs w:val="30"/>
        </w:rPr>
        <w:t>《池州市土地利用总体规划（2006-2020）》</w:t>
      </w:r>
      <w:r>
        <w:rPr>
          <w:rFonts w:hint="eastAsia" w:ascii="Times New Roman" w:hAnsi="Times New Roman" w:eastAsia="仿宋" w:cs="Times New Roman"/>
          <w:sz w:val="30"/>
          <w:szCs w:val="30"/>
        </w:rPr>
        <w:t>、</w:t>
      </w:r>
      <w:r>
        <w:rPr>
          <w:rFonts w:ascii="Times New Roman" w:hAnsi="Times New Roman" w:eastAsia="仿宋" w:cs="Times New Roman"/>
          <w:sz w:val="30"/>
          <w:szCs w:val="30"/>
        </w:rPr>
        <w:t>《池州市水功能区划》（2010-2025）等相关上位规划</w:t>
      </w:r>
      <w:r>
        <w:rPr>
          <w:rFonts w:ascii="Times New Roman" w:hAnsi="Times New Roman" w:eastAsia="仿宋_GB2312" w:cs="Times New Roman"/>
          <w:sz w:val="30"/>
          <w:szCs w:val="30"/>
        </w:rPr>
        <w:t>相衔接，避免交叉和矛盾，促进区域经济协调发展。</w:t>
      </w:r>
    </w:p>
    <w:p>
      <w:pPr>
        <w:pStyle w:val="3"/>
        <w:ind w:firstLine="643"/>
        <w:rPr>
          <w:rFonts w:ascii="Times New Roman" w:hAnsi="Times New Roman" w:cs="Times New Roman"/>
        </w:rPr>
      </w:pPr>
      <w:bookmarkStart w:id="11" w:name="_Toc27247"/>
      <w:r>
        <w:rPr>
          <w:rFonts w:ascii="Times New Roman" w:hAnsi="Times New Roman" w:cs="Times New Roman"/>
        </w:rPr>
        <w:t>规划范围</w:t>
      </w:r>
      <w:bookmarkEnd w:id="11"/>
    </w:p>
    <w:p>
      <w:pPr>
        <w:rPr>
          <w:rFonts w:ascii="Times New Roman" w:hAnsi="Times New Roman" w:eastAsia="仿宋_GB2312" w:cs="Times New Roman"/>
          <w:sz w:val="30"/>
          <w:szCs w:val="30"/>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ascii="Times New Roman" w:hAnsi="Times New Roman" w:eastAsia="仿宋_GB2312" w:cs="Times New Roman"/>
          <w:sz w:val="32"/>
          <w:szCs w:val="32"/>
        </w:rPr>
        <w:t>池州市辖区内</w:t>
      </w:r>
      <w:r>
        <w:rPr>
          <w:rFonts w:ascii="Times New Roman" w:hAnsi="Times New Roman" w:eastAsia="仿宋_GB2312" w:cs="Times New Roman"/>
          <w:sz w:val="30"/>
          <w:szCs w:val="30"/>
        </w:rPr>
        <w:t>已经进行水产养殖开发利用和目前尚未开发但适于水产养殖开发利用的所有水域、滩涂和宜渔稻田。</w:t>
      </w:r>
    </w:p>
    <w:p>
      <w:pPr>
        <w:pStyle w:val="2"/>
        <w:ind w:firstLine="964" w:firstLineChars="200"/>
        <w:rPr>
          <w:rFonts w:ascii="Times New Roman" w:hAnsi="Times New Roman" w:cs="Times New Roman"/>
          <w:sz w:val="48"/>
          <w:szCs w:val="48"/>
        </w:rPr>
      </w:pPr>
      <w:bookmarkStart w:id="12" w:name="_Toc30775"/>
      <w:bookmarkStart w:id="13" w:name="_Toc10297"/>
      <w:bookmarkStart w:id="14" w:name="_Toc24537"/>
      <w:r>
        <w:rPr>
          <w:rFonts w:ascii="Times New Roman" w:hAnsi="Times New Roman" w:cs="Times New Roman"/>
          <w:sz w:val="48"/>
          <w:szCs w:val="48"/>
        </w:rPr>
        <w:t>养殖水域滩涂利用评价</w:t>
      </w:r>
      <w:bookmarkEnd w:id="12"/>
      <w:bookmarkEnd w:id="13"/>
      <w:bookmarkEnd w:id="14"/>
    </w:p>
    <w:p>
      <w:pPr>
        <w:pStyle w:val="3"/>
        <w:ind w:firstLine="643"/>
        <w:rPr>
          <w:rFonts w:ascii="Times New Roman" w:hAnsi="Times New Roman" w:cs="Times New Roman"/>
        </w:rPr>
      </w:pPr>
      <w:bookmarkStart w:id="15" w:name="_Toc18080"/>
      <w:r>
        <w:rPr>
          <w:rFonts w:ascii="Times New Roman" w:hAnsi="Times New Roman" w:cs="Times New Roman"/>
        </w:rPr>
        <w:t>水域滩涂承载力分析</w:t>
      </w:r>
      <w:bookmarkEnd w:id="15"/>
    </w:p>
    <w:p>
      <w:pPr>
        <w:pStyle w:val="4"/>
        <w:rPr>
          <w:rFonts w:ascii="Times New Roman" w:hAnsi="Times New Roman" w:cs="Times New Roman"/>
        </w:rPr>
      </w:pPr>
      <w:bookmarkStart w:id="16" w:name="_Toc27267"/>
      <w:bookmarkStart w:id="17" w:name="_Toc8869"/>
      <w:bookmarkStart w:id="18" w:name="_Toc12387"/>
      <w:r>
        <w:rPr>
          <w:rFonts w:ascii="Times New Roman" w:hAnsi="Times New Roman" w:cs="Times New Roman"/>
        </w:rPr>
        <w:t>水域滩涂资源状况</w:t>
      </w:r>
      <w:bookmarkEnd w:id="16"/>
      <w:bookmarkEnd w:id="17"/>
      <w:bookmarkEnd w:id="18"/>
    </w:p>
    <w:p>
      <w:pPr>
        <w:spacing w:line="600" w:lineRule="exact"/>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1. 地理位置</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kern w:val="0"/>
          <w:sz w:val="32"/>
          <w:szCs w:val="32"/>
        </w:rPr>
        <w:t>池州市位于安徽省西南部，东南是黄山山脉与九华山山脉结合地带，北西濒临长江</w:t>
      </w:r>
      <w:r>
        <w:rPr>
          <w:rFonts w:hint="eastAsia" w:ascii="Times New Roman" w:hAnsi="Times New Roman" w:eastAsia="仿宋" w:cs="Times New Roman"/>
          <w:kern w:val="0"/>
          <w:sz w:val="32"/>
          <w:szCs w:val="32"/>
        </w:rPr>
        <w:t>。</w:t>
      </w:r>
      <w:r>
        <w:rPr>
          <w:rFonts w:ascii="Times New Roman" w:hAnsi="Times New Roman" w:eastAsia="仿宋_GB2312" w:cs="Times New Roman"/>
          <w:sz w:val="32"/>
          <w:szCs w:val="32"/>
        </w:rPr>
        <w:t>地跨</w:t>
      </w:r>
      <w:r>
        <w:rPr>
          <w:rFonts w:ascii="Times New Roman" w:hAnsi="Times New Roman" w:eastAsia="仿宋" w:cs="Times New Roman"/>
          <w:kern w:val="0"/>
          <w:sz w:val="32"/>
          <w:szCs w:val="32"/>
        </w:rPr>
        <w:t>东经116°38'至118°05'</w:t>
      </w:r>
      <w:r>
        <w:rPr>
          <w:rFonts w:hint="eastAsia" w:ascii="Times New Roman" w:hAnsi="Times New Roman" w:eastAsia="仿宋" w:cs="Times New Roman"/>
          <w:kern w:val="0"/>
          <w:sz w:val="32"/>
          <w:szCs w:val="32"/>
        </w:rPr>
        <w:t>与</w:t>
      </w:r>
      <w:r>
        <w:rPr>
          <w:rFonts w:ascii="Times New Roman" w:hAnsi="Times New Roman" w:eastAsia="仿宋" w:cs="Times New Roman"/>
          <w:kern w:val="0"/>
          <w:sz w:val="32"/>
          <w:szCs w:val="32"/>
        </w:rPr>
        <w:t>北纬29°33'至30°51'</w:t>
      </w:r>
      <w:r>
        <w:rPr>
          <w:rFonts w:hint="eastAsia" w:ascii="Times New Roman" w:hAnsi="Times New Roman" w:eastAsia="仿宋" w:cs="Times New Roman"/>
          <w:kern w:val="0"/>
          <w:sz w:val="32"/>
          <w:szCs w:val="32"/>
        </w:rPr>
        <w:t>之间</w:t>
      </w:r>
      <w:r>
        <w:rPr>
          <w:rFonts w:ascii="Times New Roman" w:hAnsi="Times New Roman" w:eastAsia="仿宋" w:cs="Times New Roman"/>
          <w:kern w:val="0"/>
          <w:sz w:val="32"/>
          <w:szCs w:val="32"/>
        </w:rPr>
        <w:t>。辖</w:t>
      </w:r>
      <w:r>
        <w:rPr>
          <w:rFonts w:hint="eastAsia" w:ascii="Times New Roman" w:hAnsi="Times New Roman" w:eastAsia="仿宋" w:cs="Times New Roman"/>
          <w:kern w:val="0"/>
          <w:sz w:val="32"/>
          <w:szCs w:val="32"/>
        </w:rPr>
        <w:t>贵池区</w:t>
      </w:r>
      <w:r>
        <w:rPr>
          <w:rFonts w:ascii="Times New Roman" w:hAnsi="Times New Roman" w:eastAsia="仿宋" w:cs="Times New Roman"/>
          <w:kern w:val="0"/>
          <w:sz w:val="32"/>
          <w:szCs w:val="32"/>
        </w:rPr>
        <w:t>(含江南集中区、经济技术开发区、平天湖风景区)、东至县、石台县、青阳县(含九华山风景区)。全市土地总面积8399km</w:t>
      </w:r>
      <w:r>
        <w:rPr>
          <w:rFonts w:ascii="Times New Roman" w:hAnsi="Times New Roman" w:eastAsia="仿宋" w:cs="Times New Roman"/>
          <w:kern w:val="0"/>
          <w:sz w:val="32"/>
          <w:szCs w:val="32"/>
          <w:vertAlign w:val="superscript"/>
        </w:rPr>
        <w:t>2</w:t>
      </w:r>
      <w:r>
        <w:rPr>
          <w:rFonts w:ascii="Times New Roman" w:hAnsi="Times New Roman" w:eastAsia="仿宋" w:cs="Times New Roman"/>
          <w:kern w:val="0"/>
          <w:sz w:val="32"/>
          <w:szCs w:val="32"/>
        </w:rPr>
        <w:t>，其中湖泊面积323.1 km</w:t>
      </w:r>
      <w:r>
        <w:rPr>
          <w:rFonts w:ascii="Times New Roman" w:hAnsi="Times New Roman" w:eastAsia="仿宋" w:cs="Times New Roman"/>
          <w:kern w:val="0"/>
          <w:sz w:val="32"/>
          <w:szCs w:val="32"/>
          <w:vertAlign w:val="superscript"/>
        </w:rPr>
        <w:t>2</w:t>
      </w:r>
      <w:r>
        <w:rPr>
          <w:rFonts w:ascii="Times New Roman" w:hAnsi="Times New Roman" w:eastAsia="仿宋" w:cs="Times New Roman"/>
          <w:kern w:val="0"/>
          <w:sz w:val="32"/>
          <w:szCs w:val="32"/>
        </w:rPr>
        <w:t>，圩区面积1169.2 km</w:t>
      </w:r>
      <w:r>
        <w:rPr>
          <w:rFonts w:ascii="Times New Roman" w:hAnsi="Times New Roman" w:eastAsia="仿宋" w:cs="Times New Roman"/>
          <w:kern w:val="0"/>
          <w:sz w:val="32"/>
          <w:szCs w:val="32"/>
          <w:vertAlign w:val="superscript"/>
        </w:rPr>
        <w:t>2</w:t>
      </w:r>
      <w:r>
        <w:rPr>
          <w:rFonts w:ascii="Times New Roman" w:hAnsi="Times New Roman" w:eastAsia="仿宋" w:cs="Times New Roman"/>
          <w:kern w:val="0"/>
          <w:sz w:val="32"/>
          <w:szCs w:val="32"/>
        </w:rPr>
        <w:t>，丘陵区面积1525.0 km</w:t>
      </w:r>
      <w:r>
        <w:rPr>
          <w:rFonts w:ascii="Times New Roman" w:hAnsi="Times New Roman" w:eastAsia="仿宋" w:cs="Times New Roman"/>
          <w:kern w:val="0"/>
          <w:sz w:val="32"/>
          <w:szCs w:val="32"/>
          <w:vertAlign w:val="superscript"/>
        </w:rPr>
        <w:t>2</w:t>
      </w:r>
      <w:r>
        <w:rPr>
          <w:rFonts w:ascii="Times New Roman" w:hAnsi="Times New Roman" w:eastAsia="仿宋" w:cs="Times New Roman"/>
          <w:kern w:val="0"/>
          <w:sz w:val="32"/>
          <w:szCs w:val="32"/>
        </w:rPr>
        <w:t>，山区面积5356.1 km</w:t>
      </w:r>
      <w:r>
        <w:rPr>
          <w:rFonts w:ascii="Times New Roman" w:hAnsi="Times New Roman" w:eastAsia="仿宋" w:cs="Times New Roman"/>
          <w:kern w:val="0"/>
          <w:sz w:val="32"/>
          <w:szCs w:val="32"/>
          <w:vertAlign w:val="superscript"/>
        </w:rPr>
        <w:t>2</w:t>
      </w:r>
      <w:r>
        <w:rPr>
          <w:rFonts w:ascii="Times New Roman" w:hAnsi="Times New Roman" w:eastAsia="仿宋" w:cs="Times New Roman"/>
          <w:kern w:val="0"/>
          <w:sz w:val="32"/>
          <w:szCs w:val="32"/>
        </w:rPr>
        <w:t>，长江外滩25.3 km</w:t>
      </w:r>
      <w:r>
        <w:rPr>
          <w:rFonts w:ascii="Times New Roman" w:hAnsi="Times New Roman" w:eastAsia="仿宋" w:cs="Times New Roman"/>
          <w:kern w:val="0"/>
          <w:sz w:val="32"/>
          <w:szCs w:val="32"/>
          <w:vertAlign w:val="superscript"/>
        </w:rPr>
        <w:t>2</w:t>
      </w:r>
      <w:r>
        <w:rPr>
          <w:rFonts w:ascii="Times New Roman" w:hAnsi="Times New Roman" w:eastAsia="仿宋" w:cs="Times New Roman"/>
          <w:kern w:val="0"/>
          <w:sz w:val="32"/>
          <w:szCs w:val="32"/>
        </w:rPr>
        <w:t>。全市总人口为162万人，耕地面积121.5万亩。</w:t>
      </w:r>
    </w:p>
    <w:p>
      <w:pPr>
        <w:spacing w:line="600" w:lineRule="exact"/>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2. 地形地貌</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（一）东南中山低山山间盆地区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东起九华山脉，西止黄山西脉牯牛降，为北东向西南延伸的狭长地带，主要在青阳、石台二县境内，局部进入贵池</w:t>
      </w:r>
      <w:r>
        <w:rPr>
          <w:rFonts w:hint="eastAsia" w:ascii="Times New Roman" w:hAnsi="Times New Roman" w:eastAsia="仿宋_GB2312" w:cs="Times New Roman"/>
          <w:sz w:val="32"/>
          <w:szCs w:val="32"/>
        </w:rPr>
        <w:t>区</w:t>
      </w:r>
      <w:r>
        <w:rPr>
          <w:rFonts w:ascii="Times New Roman" w:hAnsi="Times New Roman" w:eastAsia="仿宋_GB2312" w:cs="Times New Roman"/>
          <w:sz w:val="32"/>
          <w:szCs w:val="32"/>
        </w:rPr>
        <w:t>和东至县。以低山为主，中山兀立两端，山间分布串珠状盆地，在盆地边缘和盆底分布零星丘陵。除中山外，山地海拔以500</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1000</w:t>
      </w:r>
      <w:r>
        <w:rPr>
          <w:rFonts w:hint="eastAsia" w:ascii="Times New Roman" w:hAnsi="Times New Roman" w:eastAsia="仿宋_GB2312" w:cs="Times New Roman"/>
          <w:sz w:val="32"/>
          <w:szCs w:val="32"/>
        </w:rPr>
        <w:t xml:space="preserve"> m</w:t>
      </w:r>
      <w:r>
        <w:rPr>
          <w:rFonts w:ascii="Times New Roman" w:hAnsi="Times New Roman" w:eastAsia="仿宋_GB2312" w:cs="Times New Roman"/>
          <w:sz w:val="32"/>
          <w:szCs w:val="32"/>
        </w:rPr>
        <w:t>为主，西部牯牛降为最高峰海拔1728</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，东部十王峰最高1342</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，山坡峻峭坡度多为25°以上，比高以500—600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为主，中山带可达800—1000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。山地自然垂直分带比较明显，尤其中山地带更为清晰。目前九华山为国家级山岳风景名胜区，牯牛降为国家级自然保护区。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（二）中部低山丘陵山间盆地区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东起青阳县境，西南至东至县的皖赣省界，呈北东——南西延伸，大部在贵池</w:t>
      </w:r>
      <w:r>
        <w:rPr>
          <w:rFonts w:hint="eastAsia" w:ascii="Times New Roman" w:hAnsi="Times New Roman" w:eastAsia="仿宋_GB2312" w:cs="Times New Roman"/>
          <w:sz w:val="32"/>
          <w:szCs w:val="32"/>
        </w:rPr>
        <w:t>区</w:t>
      </w:r>
      <w:r>
        <w:rPr>
          <w:rFonts w:ascii="Times New Roman" w:hAnsi="Times New Roman" w:eastAsia="仿宋_GB2312" w:cs="Times New Roman"/>
          <w:sz w:val="32"/>
          <w:szCs w:val="32"/>
        </w:rPr>
        <w:t>和东至县境内，局部属青阳县、石</w:t>
      </w:r>
      <w:r>
        <w:rPr>
          <w:rFonts w:hint="eastAsia" w:ascii="Times New Roman" w:hAnsi="Times New Roman" w:eastAsia="仿宋_GB2312" w:cs="Times New Roman"/>
          <w:sz w:val="32"/>
          <w:szCs w:val="32"/>
        </w:rPr>
        <w:t>台</w:t>
      </w:r>
      <w:r>
        <w:rPr>
          <w:rFonts w:ascii="Times New Roman" w:hAnsi="Times New Roman" w:eastAsia="仿宋_GB2312" w:cs="Times New Roman"/>
          <w:sz w:val="32"/>
          <w:szCs w:val="32"/>
        </w:rPr>
        <w:t>县所辖。本区处于山区向平原区的过渡带，上升作用的强度和频率都已减弱，下降至400</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600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且分布大片丘陵和盆地。低山和丘陵间被秋浦河、九华河、青通河、黄湓河、尧渡河等大小河流贯穿，沿河形成了规模不等的河谷平原。低山和丘陵由花岗闪长岩、灰岩、白云岩、白云质灰岩、石英砂岩、粉砂质页岩和紫红色砂砾岩等组成。</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（三）西北沿江岗地平原区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东起青阳县木镇，向西南方面延伸，经青阳县城、贵池区至东至县东流镇西南皖赣省界，大部在贵池</w:t>
      </w:r>
      <w:r>
        <w:rPr>
          <w:rFonts w:hint="eastAsia" w:ascii="Times New Roman" w:hAnsi="Times New Roman" w:eastAsia="仿宋_GB2312" w:cs="Times New Roman"/>
          <w:sz w:val="32"/>
          <w:szCs w:val="32"/>
        </w:rPr>
        <w:t>区</w:t>
      </w:r>
      <w:r>
        <w:rPr>
          <w:rFonts w:ascii="Times New Roman" w:hAnsi="Times New Roman" w:eastAsia="仿宋_GB2312" w:cs="Times New Roman"/>
          <w:sz w:val="32"/>
          <w:szCs w:val="32"/>
        </w:rPr>
        <w:t>、东至县境内，仅东北部进入青阳县内。本区在间歇性沉降作用影响下，接受多次河湖相堆积，在总的沉降趋势过程中，也曾发生轻度隆起，导致中生界、新生界红层形成剥蚀岗地，早第四系堆积形成堆积岗地，沿江湖一带晚第四系堆积构成冲积湖积平原和江中沙洲。岗地海拔60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左右，比高25—30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，岗间发育冲、坳谷地，呈微波状起伏，地势高亢，不易受洪涝威协。冲积平原地势坦荡，海拔小于50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，比高小于10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 xml:space="preserve">，水利条件优越，是农耕中心，盛产稻、麦和棉花等作物。 </w:t>
      </w:r>
    </w:p>
    <w:p>
      <w:pPr>
        <w:numPr>
          <w:ilvl w:val="0"/>
          <w:numId w:val="5"/>
        </w:numPr>
        <w:spacing w:line="600" w:lineRule="exact"/>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水系概况</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水系丰富，水域面积348.4</w:t>
      </w:r>
      <w:r>
        <w:rPr>
          <w:rFonts w:hint="eastAsia" w:ascii="Times New Roman" w:hAnsi="Times New Roman" w:eastAsia="仿宋_GB2312" w:cs="Times New Roman"/>
          <w:sz w:val="32"/>
          <w:szCs w:val="32"/>
        </w:rPr>
        <w:t xml:space="preserve"> km</w:t>
      </w:r>
      <w:r>
        <w:rPr>
          <w:rFonts w:hint="eastAsia"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，占国土总面积的4％。境内河流均为长江流域，分属长江、青弋江和鄱阳湖水系，流域面积超</w:t>
      </w: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00</w:t>
      </w:r>
      <w:r>
        <w:rPr>
          <w:rFonts w:hint="eastAsia" w:ascii="Times New Roman" w:hAnsi="Times New Roman" w:eastAsia="仿宋_GB2312" w:cs="Times New Roman"/>
          <w:sz w:val="32"/>
          <w:szCs w:val="32"/>
        </w:rPr>
        <w:t xml:space="preserve"> km</w:t>
      </w:r>
      <w:r>
        <w:rPr>
          <w:rFonts w:hint="eastAsia"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的河流7条，升金湖为国际重要湿地。</w:t>
      </w:r>
    </w:p>
    <w:p>
      <w:pPr>
        <w:spacing w:line="600" w:lineRule="exact"/>
        <w:ind w:firstLine="640" w:firstLineChars="200"/>
        <w:rPr>
          <w:rFonts w:ascii="Times New Roman" w:hAnsi="Times New Roman" w:eastAsia="仿宋_GB2312" w:cs="Times New Roman"/>
          <w:sz w:val="32"/>
          <w:szCs w:val="32"/>
        </w:rPr>
      </w:pPr>
      <w:bookmarkStart w:id="19" w:name="_Toc261817483"/>
      <w:bookmarkStart w:id="20" w:name="_Toc261817263"/>
      <w:bookmarkStart w:id="21" w:name="_Toc426011731"/>
      <w:r>
        <w:rPr>
          <w:rFonts w:ascii="Times New Roman" w:hAnsi="Times New Roman" w:eastAsia="仿宋_GB2312" w:cs="Times New Roman"/>
          <w:sz w:val="32"/>
          <w:szCs w:val="32"/>
        </w:rPr>
        <w:t>（一）河流</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长江干流流经池州</w:t>
      </w:r>
      <w:r>
        <w:rPr>
          <w:rFonts w:hint="eastAsia" w:ascii="Times New Roman" w:hAnsi="Times New Roman" w:eastAsia="仿宋_GB2312" w:cs="Times New Roman"/>
          <w:sz w:val="32"/>
          <w:szCs w:val="32"/>
          <w:lang w:val="en-US" w:eastAsia="zh-CN"/>
        </w:rPr>
        <w:t>145</w:t>
      </w:r>
      <w:r>
        <w:rPr>
          <w:rFonts w:ascii="Times New Roman" w:hAnsi="Times New Roman" w:eastAsia="仿宋_GB2312" w:cs="Times New Roman"/>
          <w:sz w:val="32"/>
          <w:szCs w:val="32"/>
        </w:rPr>
        <w:t>km</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在本</w:t>
      </w:r>
      <w:r>
        <w:rPr>
          <w:rFonts w:hint="eastAsia" w:ascii="Times New Roman" w:hAnsi="Times New Roman" w:eastAsia="仿宋_GB2312" w:cs="Times New Roman"/>
          <w:sz w:val="32"/>
          <w:szCs w:val="32"/>
        </w:rPr>
        <w:t>市</w:t>
      </w:r>
      <w:r>
        <w:rPr>
          <w:rFonts w:ascii="Times New Roman" w:hAnsi="Times New Roman" w:eastAsia="仿宋_GB2312" w:cs="Times New Roman"/>
          <w:sz w:val="32"/>
          <w:szCs w:val="32"/>
        </w:rPr>
        <w:t>境内自东至县香口入境，至贵池</w:t>
      </w:r>
      <w:r>
        <w:rPr>
          <w:rFonts w:hint="eastAsia" w:ascii="Times New Roman" w:hAnsi="Times New Roman" w:eastAsia="仿宋_GB2312" w:cs="Times New Roman"/>
          <w:sz w:val="32"/>
          <w:szCs w:val="32"/>
        </w:rPr>
        <w:t>区梅龙街道</w:t>
      </w:r>
      <w:r>
        <w:rPr>
          <w:rFonts w:ascii="Times New Roman" w:hAnsi="Times New Roman" w:eastAsia="仿宋_GB2312" w:cs="Times New Roman"/>
          <w:sz w:val="32"/>
          <w:szCs w:val="32"/>
        </w:rPr>
        <w:t>与铜陵市交界大通镇出境。基本流向保持西南</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东北向，但由于受到南北向和东西向两组断裂的影响，在东至县西部，自香口至杨桥河段；在贵池</w:t>
      </w:r>
      <w:r>
        <w:rPr>
          <w:rFonts w:hint="eastAsia" w:ascii="Times New Roman" w:hAnsi="Times New Roman" w:eastAsia="仿宋_GB2312" w:cs="Times New Roman"/>
          <w:sz w:val="32"/>
          <w:szCs w:val="32"/>
        </w:rPr>
        <w:t>区</w:t>
      </w:r>
      <w:r>
        <w:rPr>
          <w:rFonts w:ascii="Times New Roman" w:hAnsi="Times New Roman" w:eastAsia="仿宋_GB2312" w:cs="Times New Roman"/>
          <w:sz w:val="32"/>
          <w:szCs w:val="32"/>
        </w:rPr>
        <w:t>西部，自</w:t>
      </w:r>
      <w:r>
        <w:rPr>
          <w:rFonts w:hint="eastAsia" w:ascii="Times New Roman" w:hAnsi="Times New Roman" w:eastAsia="仿宋_GB2312" w:cs="Times New Roman"/>
          <w:sz w:val="32"/>
          <w:szCs w:val="32"/>
        </w:rPr>
        <w:t>牛头山</w:t>
      </w:r>
      <w:r>
        <w:rPr>
          <w:rFonts w:ascii="Times New Roman" w:hAnsi="Times New Roman" w:eastAsia="仿宋_GB2312" w:cs="Times New Roman"/>
          <w:sz w:val="32"/>
          <w:szCs w:val="32"/>
        </w:rPr>
        <w:t>至乌沙河段，其流向为南北向，其余河段则多呈自西向东流向。河床属分叉型，在平面上呈宽窄相间的莲藉状分布。窄河段为单一河槽，宽800</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1300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；宽河段一般由双股汊道组成，江面最宽达3000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（贵池</w:t>
      </w:r>
      <w:r>
        <w:rPr>
          <w:rFonts w:hint="eastAsia" w:ascii="Times New Roman" w:hAnsi="Times New Roman" w:eastAsia="仿宋_GB2312" w:cs="Times New Roman"/>
          <w:sz w:val="32"/>
          <w:szCs w:val="32"/>
        </w:rPr>
        <w:t>区</w:t>
      </w:r>
      <w:r>
        <w:rPr>
          <w:rFonts w:ascii="Times New Roman" w:hAnsi="Times New Roman" w:eastAsia="仿宋_GB2312" w:cs="Times New Roman"/>
          <w:sz w:val="32"/>
          <w:szCs w:val="32"/>
        </w:rPr>
        <w:t>），江中沙洲罗列，从香口至大通计有玉带洲、棉花洲、三女洲、学文洲、官洲、江心洲、铁板洲、铜板洲、氽水洲、崇文洲、和悦洲等。每年4月江水开始逐渐上涨，5</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8月进入汛期，12月至翌年2月进入枯水期，历年平均水位9.20</w:t>
      </w:r>
      <w:r>
        <w:rPr>
          <w:rFonts w:hint="eastAsia" w:ascii="Times New Roman" w:hAnsi="Times New Roman" w:eastAsia="仿宋_GB2312" w:cs="Times New Roman"/>
          <w:sz w:val="32"/>
          <w:szCs w:val="32"/>
        </w:rPr>
        <w:t xml:space="preserve"> m</w:t>
      </w:r>
      <w:r>
        <w:rPr>
          <w:rFonts w:ascii="Times New Roman" w:hAnsi="Times New Roman" w:eastAsia="仿宋_GB2312" w:cs="Times New Roman"/>
          <w:sz w:val="32"/>
          <w:szCs w:val="32"/>
        </w:rPr>
        <w:t>，多年平均流量29500</w:t>
      </w:r>
      <w:r>
        <w:rPr>
          <w:rFonts w:hint="eastAsia" w:ascii="Times New Roman" w:hAnsi="Times New Roman" w:eastAsia="仿宋_GB2312" w:cs="Times New Roman"/>
          <w:sz w:val="32"/>
          <w:szCs w:val="32"/>
        </w:rPr>
        <w:t xml:space="preserve"> m³</w:t>
      </w:r>
      <w:r>
        <w:rPr>
          <w:rFonts w:ascii="Times New Roman" w:hAnsi="Times New Roman" w:eastAsia="仿宋_GB2312" w:cs="Times New Roman"/>
          <w:sz w:val="32"/>
          <w:szCs w:val="32"/>
        </w:rPr>
        <w:t>/秒。</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境内河流较多，十大河流均为长江流域，其中直接入江的河流6条，流入青弋江的河流3条，流入鄱阳湖的河流1条。七条主要河流（龙泉、尧渡、黄湓、秋浦、九华、大通</w:t>
      </w:r>
      <w:r>
        <w:rPr>
          <w:rFonts w:hint="eastAsia" w:ascii="Times New Roman" w:hAnsi="Times New Roman" w:eastAsia="仿宋_GB2312" w:cs="Times New Roman"/>
          <w:sz w:val="32"/>
          <w:szCs w:val="32"/>
          <w:lang w:eastAsia="zh-CN"/>
        </w:rPr>
        <w:t>、清溪河</w:t>
      </w:r>
      <w:r>
        <w:rPr>
          <w:rFonts w:ascii="Times New Roman" w:hAnsi="Times New Roman" w:eastAsia="仿宋_GB2312" w:cs="Times New Roman"/>
          <w:sz w:val="32"/>
          <w:szCs w:val="32"/>
        </w:rPr>
        <w:t>）集水面积7389km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，占全市国土总面积的88.3%。除龙泉河流入江西鄱阳湖外</w:t>
      </w:r>
      <w:r>
        <w:rPr>
          <w:rFonts w:hint="eastAsia" w:ascii="Times New Roman" w:hAnsi="Times New Roman" w:eastAsia="仿宋_GB2312" w:cs="Times New Roman"/>
          <w:sz w:val="32"/>
          <w:szCs w:val="32"/>
          <w:lang w:eastAsia="zh-CN"/>
        </w:rPr>
        <w:t>、清溪河流入太平湖外，</w:t>
      </w:r>
      <w:r>
        <w:rPr>
          <w:rFonts w:ascii="Times New Roman" w:hAnsi="Times New Roman" w:eastAsia="仿宋_GB2312" w:cs="Times New Roman"/>
          <w:sz w:val="32"/>
          <w:szCs w:val="32"/>
        </w:rPr>
        <w:t>其余均直接汇入长江。</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（二）湖泊</w:t>
      </w:r>
    </w:p>
    <w:p>
      <w:pPr>
        <w:spacing w:line="60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境</w:t>
      </w:r>
      <w:r>
        <w:rPr>
          <w:rFonts w:ascii="Times New Roman" w:hAnsi="Times New Roman" w:eastAsia="仿宋_GB2312" w:cs="Times New Roman"/>
          <w:sz w:val="32"/>
          <w:szCs w:val="32"/>
        </w:rPr>
        <w:t>内，面积超0.</w:t>
      </w:r>
      <w:r>
        <w:rPr>
          <w:rFonts w:hint="eastAsia" w:ascii="Times New Roman" w:hAnsi="Times New Roman" w:eastAsia="仿宋_GB2312" w:cs="Times New Roman"/>
          <w:sz w:val="32"/>
          <w:szCs w:val="32"/>
        </w:rPr>
        <w:t>5 km</w:t>
      </w:r>
      <w:r>
        <w:rPr>
          <w:rFonts w:hint="eastAsia"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的湖泊26个</w:t>
      </w:r>
      <w:r>
        <w:rPr>
          <w:rFonts w:hint="eastAsia" w:ascii="Times New Roman" w:hAnsi="Times New Roman" w:eastAsia="仿宋_GB2312" w:cs="Times New Roman"/>
          <w:sz w:val="32"/>
          <w:szCs w:val="32"/>
        </w:rPr>
        <w:t>，重要湖泊</w:t>
      </w:r>
      <w:r>
        <w:rPr>
          <w:rFonts w:ascii="Times New Roman" w:hAnsi="Times New Roman" w:eastAsia="仿宋_GB2312" w:cs="Times New Roman"/>
          <w:sz w:val="32"/>
          <w:szCs w:val="32"/>
        </w:rPr>
        <w:t>有升金湖、七里湖、</w:t>
      </w:r>
      <w:r>
        <w:rPr>
          <w:rFonts w:hint="eastAsia" w:ascii="Times New Roman" w:hAnsi="Times New Roman" w:eastAsia="仿宋_GB2312" w:cs="Times New Roman"/>
          <w:sz w:val="32"/>
          <w:szCs w:val="32"/>
        </w:rPr>
        <w:t>平天湖</w:t>
      </w:r>
      <w:r>
        <w:rPr>
          <w:rFonts w:ascii="Times New Roman" w:hAnsi="Times New Roman" w:eastAsia="仿宋_GB2312" w:cs="Times New Roman"/>
          <w:sz w:val="32"/>
          <w:szCs w:val="32"/>
        </w:rPr>
        <w:t>、太</w:t>
      </w:r>
      <w:r>
        <w:rPr>
          <w:rFonts w:hint="eastAsia" w:ascii="Times New Roman" w:hAnsi="Times New Roman" w:eastAsia="仿宋_GB2312" w:cs="Times New Roman"/>
          <w:sz w:val="32"/>
          <w:szCs w:val="32"/>
        </w:rPr>
        <w:t>泊</w:t>
      </w:r>
      <w:r>
        <w:rPr>
          <w:rFonts w:ascii="Times New Roman" w:hAnsi="Times New Roman" w:eastAsia="仿宋_GB2312" w:cs="Times New Roman"/>
          <w:sz w:val="32"/>
          <w:szCs w:val="32"/>
        </w:rPr>
        <w:t>湖等</w:t>
      </w:r>
      <w:r>
        <w:rPr>
          <w:rFonts w:hint="eastAsia" w:ascii="Times New Roman" w:hAnsi="Times New Roman" w:eastAsia="仿宋_GB2312" w:cs="Times New Roman"/>
          <w:sz w:val="32"/>
          <w:szCs w:val="32"/>
        </w:rPr>
        <w:t>，</w:t>
      </w:r>
      <w:bookmarkEnd w:id="19"/>
      <w:bookmarkEnd w:id="20"/>
      <w:bookmarkEnd w:id="21"/>
      <w:r>
        <w:rPr>
          <w:rFonts w:hint="eastAsia" w:ascii="Times New Roman" w:hAnsi="Times New Roman" w:eastAsia="仿宋_GB2312" w:cs="Times New Roman"/>
          <w:sz w:val="32"/>
          <w:szCs w:val="32"/>
        </w:rPr>
        <w:t xml:space="preserve">湖泊水域总面积14209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，其中贵池6287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、东至7366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、青阳556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w:t>
      </w:r>
    </w:p>
    <w:p>
      <w:pPr>
        <w:spacing w:line="600" w:lineRule="exact"/>
        <w:ind w:firstLine="643" w:firstLineChars="200"/>
        <w:rPr>
          <w:rFonts w:ascii="Times New Roman" w:hAnsi="Times New Roman" w:cs="Times New Roman"/>
          <w:b/>
          <w:bCs/>
          <w:sz w:val="32"/>
          <w:szCs w:val="32"/>
        </w:rPr>
      </w:pPr>
      <w:r>
        <w:rPr>
          <w:rFonts w:ascii="Times New Roman" w:hAnsi="Times New Roman" w:cs="Times New Roman"/>
          <w:b/>
          <w:bCs/>
          <w:sz w:val="32"/>
          <w:szCs w:val="32"/>
        </w:rPr>
        <w:t>5. 养殖水域资源概况</w:t>
      </w:r>
    </w:p>
    <w:p>
      <w:pPr>
        <w:pStyle w:val="12"/>
        <w:numPr>
          <w:ilvl w:val="0"/>
          <w:numId w:val="6"/>
        </w:numPr>
        <w:spacing w:line="600" w:lineRule="exact"/>
        <w:ind w:firstLineChars="0"/>
        <w:rPr>
          <w:rFonts w:ascii="Times New Roman" w:hAnsi="Times New Roman" w:eastAsia="仿宋" w:cs="Times New Roman"/>
          <w:b/>
          <w:bCs/>
          <w:sz w:val="32"/>
          <w:szCs w:val="32"/>
        </w:rPr>
      </w:pPr>
      <w:r>
        <w:rPr>
          <w:rFonts w:ascii="Times New Roman" w:hAnsi="Times New Roman" w:eastAsia="仿宋" w:cs="Times New Roman"/>
          <w:b/>
          <w:bCs/>
          <w:sz w:val="32"/>
          <w:szCs w:val="32"/>
        </w:rPr>
        <w:t>养殖池塘</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全市养殖池塘面积4814</w:t>
      </w:r>
      <w:r>
        <w:rPr>
          <w:rFonts w:hint="eastAsia" w:ascii="Times New Roman" w:hAnsi="Times New Roman" w:eastAsia="仿宋" w:cs="Times New Roman"/>
          <w:sz w:val="32"/>
          <w:szCs w:val="32"/>
        </w:rPr>
        <w:t xml:space="preserve">.1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，其中贵池2560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、东至1056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、青阳1135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、石台63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w:t>
      </w:r>
    </w:p>
    <w:p>
      <w:pPr>
        <w:pStyle w:val="12"/>
        <w:numPr>
          <w:ilvl w:val="0"/>
          <w:numId w:val="6"/>
        </w:numPr>
        <w:spacing w:line="600" w:lineRule="exact"/>
        <w:ind w:firstLineChars="0"/>
        <w:rPr>
          <w:rFonts w:ascii="Times New Roman" w:hAnsi="Times New Roman" w:eastAsia="仿宋" w:cs="Times New Roman"/>
          <w:b/>
          <w:bCs/>
          <w:sz w:val="32"/>
          <w:szCs w:val="32"/>
        </w:rPr>
      </w:pPr>
      <w:r>
        <w:rPr>
          <w:rFonts w:hint="eastAsia" w:ascii="Times New Roman" w:hAnsi="Times New Roman" w:eastAsia="仿宋" w:cs="Times New Roman"/>
          <w:b/>
          <w:bCs/>
          <w:sz w:val="32"/>
          <w:szCs w:val="32"/>
        </w:rPr>
        <w:t>河沟</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全市</w:t>
      </w:r>
      <w:r>
        <w:rPr>
          <w:rFonts w:hint="eastAsia" w:ascii="Times New Roman" w:hAnsi="Times New Roman" w:eastAsia="仿宋" w:cs="Times New Roman"/>
          <w:sz w:val="32"/>
          <w:szCs w:val="32"/>
        </w:rPr>
        <w:t>宜渔</w:t>
      </w:r>
      <w:r>
        <w:rPr>
          <w:rFonts w:ascii="Times New Roman" w:hAnsi="Times New Roman" w:eastAsia="仿宋" w:cs="Times New Roman"/>
          <w:sz w:val="32"/>
          <w:szCs w:val="32"/>
        </w:rPr>
        <w:t>河沟面积</w:t>
      </w:r>
      <w:r>
        <w:rPr>
          <w:rFonts w:hint="eastAsia" w:ascii="Times New Roman" w:hAnsi="Times New Roman" w:eastAsia="仿宋" w:cs="Times New Roman"/>
          <w:sz w:val="32"/>
          <w:szCs w:val="32"/>
        </w:rPr>
        <w:t xml:space="preserve">930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w:t>
      </w:r>
      <w:r>
        <w:rPr>
          <w:rFonts w:hint="eastAsia" w:ascii="Times New Roman" w:hAnsi="Times New Roman" w:eastAsia="仿宋" w:cs="Times New Roman"/>
          <w:sz w:val="32"/>
          <w:szCs w:val="32"/>
        </w:rPr>
        <w:t xml:space="preserve">其中贵池580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、东至220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 xml:space="preserve">、青阳292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w:t>
      </w:r>
    </w:p>
    <w:p>
      <w:pPr>
        <w:pStyle w:val="12"/>
        <w:numPr>
          <w:ilvl w:val="0"/>
          <w:numId w:val="6"/>
        </w:numPr>
        <w:spacing w:line="600" w:lineRule="exact"/>
        <w:ind w:firstLineChars="0"/>
        <w:rPr>
          <w:rFonts w:ascii="Times New Roman" w:hAnsi="Times New Roman" w:eastAsia="仿宋" w:cs="Times New Roman"/>
          <w:b/>
          <w:bCs/>
          <w:sz w:val="32"/>
          <w:szCs w:val="32"/>
        </w:rPr>
      </w:pPr>
      <w:r>
        <w:rPr>
          <w:rFonts w:ascii="Times New Roman" w:hAnsi="Times New Roman" w:eastAsia="仿宋" w:cs="Times New Roman"/>
          <w:b/>
          <w:bCs/>
          <w:sz w:val="32"/>
          <w:szCs w:val="32"/>
        </w:rPr>
        <w:t>水库</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全市</w:t>
      </w:r>
      <w:r>
        <w:rPr>
          <w:rFonts w:ascii="Times New Roman" w:hAnsi="Times New Roman" w:eastAsia="仿宋_GB2312" w:cs="Times New Roman"/>
          <w:sz w:val="32"/>
          <w:szCs w:val="32"/>
        </w:rPr>
        <w:t>中小型水库430座，</w:t>
      </w:r>
      <w:r>
        <w:rPr>
          <w:rFonts w:ascii="Times New Roman" w:hAnsi="Times New Roman" w:eastAsia="仿宋" w:cs="Times New Roman"/>
          <w:sz w:val="32"/>
          <w:szCs w:val="32"/>
        </w:rPr>
        <w:t>宜渔水库</w:t>
      </w:r>
      <w:r>
        <w:rPr>
          <w:rFonts w:hint="eastAsia" w:ascii="Times New Roman" w:hAnsi="Times New Roman" w:eastAsia="仿宋" w:cs="Times New Roman"/>
          <w:sz w:val="32"/>
          <w:szCs w:val="32"/>
        </w:rPr>
        <w:t xml:space="preserve">水域面积1472 </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其中贵池337</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、东至645</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、青阳410</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、石台80</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w:t>
      </w:r>
    </w:p>
    <w:p>
      <w:pPr>
        <w:pStyle w:val="12"/>
        <w:numPr>
          <w:ilvl w:val="0"/>
          <w:numId w:val="6"/>
        </w:numPr>
        <w:spacing w:line="600" w:lineRule="exact"/>
        <w:ind w:firstLineChars="0"/>
        <w:rPr>
          <w:rFonts w:ascii="Times New Roman" w:hAnsi="Times New Roman" w:eastAsia="仿宋" w:cs="Times New Roman"/>
          <w:sz w:val="32"/>
          <w:szCs w:val="32"/>
        </w:rPr>
      </w:pPr>
      <w:r>
        <w:rPr>
          <w:rFonts w:ascii="Times New Roman" w:hAnsi="Times New Roman" w:eastAsia="仿宋" w:cs="Times New Roman"/>
          <w:b/>
          <w:bCs/>
          <w:sz w:val="32"/>
          <w:szCs w:val="32"/>
        </w:rPr>
        <w:t>其他类型</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w:t>
      </w:r>
      <w:r>
        <w:rPr>
          <w:rFonts w:ascii="Times New Roman" w:hAnsi="Times New Roman" w:eastAsia="仿宋" w:cs="Times New Roman"/>
          <w:color w:val="auto"/>
          <w:sz w:val="32"/>
          <w:szCs w:val="32"/>
        </w:rPr>
        <w:t>市</w:t>
      </w:r>
      <w:r>
        <w:rPr>
          <w:rFonts w:hint="eastAsia" w:ascii="Times New Roman" w:hAnsi="Times New Roman" w:eastAsia="仿宋" w:cs="Times New Roman"/>
          <w:color w:val="auto"/>
          <w:sz w:val="32"/>
          <w:szCs w:val="32"/>
        </w:rPr>
        <w:t>现有</w:t>
      </w:r>
      <w:r>
        <w:rPr>
          <w:rFonts w:ascii="Times New Roman" w:hAnsi="Times New Roman" w:eastAsia="仿宋" w:cs="Times New Roman"/>
          <w:sz w:val="32"/>
          <w:szCs w:val="32"/>
        </w:rPr>
        <w:t>稻田总面积达</w:t>
      </w:r>
      <w:r>
        <w:rPr>
          <w:rFonts w:hint="eastAsia" w:ascii="Times New Roman" w:hAnsi="Times New Roman" w:eastAsia="仿宋" w:cs="Times New Roman"/>
          <w:sz w:val="32"/>
          <w:szCs w:val="32"/>
        </w:rPr>
        <w:t>4850</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其中贵池2032</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、东至1752</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、青阳1066</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w:t>
      </w:r>
    </w:p>
    <w:p>
      <w:pPr>
        <w:pStyle w:val="4"/>
        <w:rPr>
          <w:rFonts w:ascii="Times New Roman" w:hAnsi="Times New Roman" w:cs="Times New Roman"/>
        </w:rPr>
      </w:pPr>
      <w:bookmarkStart w:id="22" w:name="_Toc24970"/>
      <w:bookmarkStart w:id="23" w:name="_Toc25750"/>
      <w:bookmarkStart w:id="24" w:name="_Toc23747"/>
      <w:r>
        <w:rPr>
          <w:rFonts w:ascii="Times New Roman" w:hAnsi="Times New Roman" w:cs="Times New Roman"/>
        </w:rPr>
        <w:t>自然气候条件</w:t>
      </w:r>
      <w:bookmarkEnd w:id="22"/>
      <w:bookmarkEnd w:id="23"/>
      <w:bookmarkEnd w:id="24"/>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池州</w:t>
      </w:r>
      <w:r>
        <w:rPr>
          <w:rFonts w:ascii="Times New Roman" w:hAnsi="Times New Roman" w:eastAsia="仿宋" w:cs="Times New Roman"/>
          <w:sz w:val="32"/>
          <w:szCs w:val="32"/>
        </w:rPr>
        <w:t>地处北亚热带南缘，其南部（东至县昭潭）接近中亚热带北缘，属温和湿润的</w:t>
      </w:r>
      <w:r>
        <w:rPr>
          <w:rFonts w:hint="eastAsia" w:ascii="Times New Roman" w:hAnsi="Times New Roman" w:eastAsia="仿宋" w:cs="Times New Roman"/>
          <w:sz w:val="32"/>
          <w:szCs w:val="32"/>
        </w:rPr>
        <w:t>东南</w:t>
      </w:r>
      <w:r>
        <w:rPr>
          <w:rFonts w:ascii="Times New Roman" w:hAnsi="Times New Roman" w:eastAsia="仿宋" w:cs="Times New Roman"/>
          <w:sz w:val="32"/>
          <w:szCs w:val="32"/>
        </w:rPr>
        <w:t>季风气候</w:t>
      </w:r>
      <w:r>
        <w:rPr>
          <w:rFonts w:hint="eastAsia" w:ascii="Times New Roman" w:hAnsi="Times New Roman" w:eastAsia="仿宋" w:cs="Times New Roman"/>
          <w:sz w:val="32"/>
          <w:szCs w:val="32"/>
        </w:rPr>
        <w:t>区</w:t>
      </w:r>
      <w:r>
        <w:rPr>
          <w:rFonts w:ascii="Times New Roman" w:hAnsi="Times New Roman" w:eastAsia="仿宋" w:cs="Times New Roman"/>
          <w:sz w:val="32"/>
          <w:szCs w:val="32"/>
        </w:rPr>
        <w:t>。其基本特征是气候温和，季风明显，雨量充沛，光照比较充足，雨热同</w:t>
      </w:r>
      <w:r>
        <w:rPr>
          <w:rFonts w:hint="eastAsia" w:ascii="Times New Roman" w:hAnsi="Times New Roman" w:eastAsia="仿宋" w:cs="Times New Roman"/>
          <w:sz w:val="32"/>
          <w:szCs w:val="32"/>
        </w:rPr>
        <w:t>期</w:t>
      </w:r>
      <w:r>
        <w:rPr>
          <w:rFonts w:ascii="Times New Roman" w:hAnsi="Times New Roman" w:eastAsia="仿宋" w:cs="Times New Roman"/>
          <w:sz w:val="32"/>
          <w:szCs w:val="32"/>
        </w:rPr>
        <w:t xml:space="preserve">，生长期长。境内气候温暖，四季分明，雨量丰沛，光照充足，无霜期长，属暖湿性亚热带季风气候。年均无霜期230天，最长286天。初霜多出现在11月上中旬，终霜在次年3月。全市年平均气温为16.1℃，极端最高气温为40.9℃，出现在1988年8月27日；极端最低气温为-16.0℃，分别出现在1969年2月5日、6日。受华东季风、西南暖湿气流影响，境内降雨丰沛，多年平均降雨量在1300～2000mm之间，极大值为2716mm（九华山1983年），极小值888.7mm（贵池1978年）。 </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春温多变，雨水较多。</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春季开始于3月15日左右，大约有70天。此期南北暖冷气流交锋频繁，气温回升不稳定，日际变化大，变化幅度平均在9℃～20℃之间，常常出现低温连阴雨天气，春寒和倒春寒天气几乎每年都有出现，对农作物春播极其不利。</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夏热多雨，梅雨显著。5月下旬自西向东开始入夏，长达125天左右。夏季炎热，6～8月的月平均气温均在25℃以上，7月为全年最热的月份。</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上空每年夏初正是太平洋副热带高压与北方冷空气接触交锋的场所，在一定时期内，冷暖空气在此相持不下，云雨停滞不前，阴雨连绵，形成梅雨天气，极易造成洪涝灾害。</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秋季少雨，晴朗稳定。9月下旬开始入秋，约有60天左右。由于</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多在小高压控制下，大气层结构稳定，多数年份天气以晴朗少雨为主，常常出现秋旱。</w:t>
      </w:r>
    </w:p>
    <w:p>
      <w:pPr>
        <w:rPr>
          <w:rFonts w:ascii="Times New Roman" w:hAnsi="Times New Roman" w:eastAsia="仿宋" w:cs="Times New Roman"/>
          <w:sz w:val="32"/>
          <w:szCs w:val="32"/>
        </w:rPr>
      </w:pPr>
      <w:r>
        <w:rPr>
          <w:rFonts w:ascii="Times New Roman" w:hAnsi="Times New Roman" w:eastAsia="仿宋" w:cs="Times New Roman"/>
          <w:sz w:val="32"/>
          <w:szCs w:val="32"/>
        </w:rPr>
        <w:t>冬季寒冷，干燥少雨。11月下旬进入冬季，有115天左右，由于受来自蒙古冷高压影响，常有冷空气南侵，偏北风占优势，</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气温较低，是全年雨量最少的季节。</w:t>
      </w:r>
    </w:p>
    <w:p>
      <w:pPr>
        <w:pStyle w:val="4"/>
        <w:rPr>
          <w:rFonts w:ascii="Times New Roman" w:hAnsi="Times New Roman" w:cs="Times New Roman"/>
        </w:rPr>
      </w:pPr>
      <w:bookmarkStart w:id="25" w:name="_Toc11062"/>
      <w:bookmarkStart w:id="26" w:name="_Toc27079"/>
      <w:bookmarkStart w:id="27" w:name="_Toc2703"/>
      <w:r>
        <w:rPr>
          <w:rFonts w:ascii="Times New Roman" w:hAnsi="Times New Roman" w:cs="Times New Roman"/>
        </w:rPr>
        <w:t>水生生物资源状况</w:t>
      </w:r>
      <w:bookmarkEnd w:id="25"/>
      <w:bookmarkEnd w:id="26"/>
      <w:bookmarkEnd w:id="27"/>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 鱼类资源</w:t>
      </w:r>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通江河湖众多</w:t>
      </w:r>
      <w:r>
        <w:rPr>
          <w:rFonts w:ascii="Times New Roman" w:hAnsi="Times New Roman" w:eastAsia="仿宋" w:cs="Times New Roman"/>
          <w:sz w:val="32"/>
          <w:szCs w:val="32"/>
        </w:rPr>
        <w:t>，</w:t>
      </w:r>
      <w:r>
        <w:rPr>
          <w:rFonts w:hint="eastAsia" w:ascii="Times New Roman" w:hAnsi="Times New Roman" w:eastAsia="仿宋" w:cs="Times New Roman"/>
          <w:sz w:val="32"/>
          <w:szCs w:val="32"/>
        </w:rPr>
        <w:t>境内天然鱼类资源较丰富。根据近年监测资料和历史文献资料，境内鱼类共有鱼类66种，分属于19个科，其中鲤科为主体，共40种，占总数60.61%。其中鲤科鱼类为最大类群，有41种，鳅科6种，鲶科5种，鮨科鱼类科3种，鲇科、塘鳢科各2种，鲱科、银鱼科、鱵鱼科、鰕虎鱼科、鳢科、鳗鳅科各1种。共分三个生态类型：湖泊栖息、江湖半洄游和过河口洄游。其中湖泊栖息类占总数的70%，江湖半洄游类约占20%，过河口洄游类占10%。</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2. 浮游植物资源</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现有浮游植物物种8门84属183种，其中绿藻门34属83种( 45.60% );硅藻门20属42种(23.63% );蓝藻门14属30种(16.48% )，裸藻门7属16种(8.79% );甲藻门、金藻门分别为3属4种(2:20% ):黄藻门所占比例最低，为1属1种((0.55%)。春季共调查到物种7门59属98种，其中绿藻门最多，为24属43种(43.88%);其次为硅藻门15属26种( 24.53% )。夏季调查到物种共7门54属106种，绿藻门20属49种( 50.00% );其次为蓝藻门12属26种(26.53%)。秋季调查到物种共8门63属121种，绿藻门27属59种(48.76% );其次为硅藻门15属25种( 20.66% )。冬季调查到物种共7门59属93种，其中绿藻门最多为21属41种(占43.16%)，其次为硅藻门17属25种(占26.31 % )。</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浮游植物优势种24种，其中春季优势种主要有:硅藻门的钝脆杆藻、梅尼小环藻、华丽星杆藻、放射针杆藻、冰岛直链藻,颗粒直链藻极狭变种、意大利颗粒直链藻;蓝藻门的绿色颤藻、小型颤藻。夏季优势种为蓝藻门，绿色颤藻、细小平裂藻、多变鱼腥藻、固氮鱼腥藻。秋季优势种主要为蓝藻门的绿色颤藻、细小平裂藻、多变鱼腥藻、卷曲鱼腥藻;硅藻门的颗粒直链藻、颗粒直链藻极狭变种、钝脆杆藻;绿藻门的镰形纤维藻、螺旋弓形藻、狭形纤维藻。冬季的优势种主要以硅藻门占优势种，包括颗粒直链藻、颗粒直链藻极狭变种、颗粒直链藻极狭变种螺旋变形、绿藻门的单角盘星藻。</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浮游植物生物量0.12~43.15mg/L，年均值为1.26mg/L，夏季蓝藻门生物量达到最大。</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3. 浮游动物资源</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浮游动物有4大类88种，其中原生动物10种，轮虫51种、枝角类17种、挠足类10种。优势种(优势度&gt; 0.02 ) 10种，其中原生动物2种，轮虫8种。春季以针簇多肢轮虫优势度最高;夏季以瓶砂壳虫优势度最高;秋季以针簇多肢轮虫优势度最高;冬季以针簇多肢轮虫优势度最高。针簇多肢轮虫和蒲达臂尾轮虫为四季共有优势种，螺型龟甲轮虫为春秋两季共有优势种，角突臂尾轮虫为春夏两季共有优势种，其他为季节单一优势种。浮游动物丰度130~14569个/L；鱼类生长季节浮游动物生物量1.08~7.79 mg/L，平均2.65 mg/L。</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4. 底栖生物资源</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池州市湖群共采集到底栖动物23种，其中瓣鳃类13种，腹足类7种，水生昆虫和寡毛类3种，优势类群为螺类。螺蚌类软体动物生物量为12.22g/㎡，寡毛类1.12g/㎡。</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5.水生植物资源</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根据2016年调查研究结果，贵池主要湖群共调查到水生及沿岸湿地植物121科348属496种，其中蕨类植物9科9属9种，裸子植物6科11属13种，被子植物106科327属473种，其中双子叶植物90科263属377种，单子叶植物16科64属96种。双子叶植物种类以菊科最多，有33属55种，豆科次之，有19属30种;单子叶植物种类中以禾本科最多，有32属44种，其次为莎草科，有10属21种。水生植物是鱼类饵料和主要产卵场。</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6. 初级生产力</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池州市地处</w:t>
      </w:r>
      <w:r>
        <w:rPr>
          <w:rFonts w:ascii="Times New Roman" w:hAnsi="Times New Roman" w:eastAsia="仿宋" w:cs="Times New Roman"/>
          <w:sz w:val="32"/>
          <w:szCs w:val="32"/>
        </w:rPr>
        <w:t>北亚热带南缘，</w:t>
      </w:r>
      <w:r>
        <w:rPr>
          <w:rFonts w:hint="eastAsia" w:ascii="仿宋" w:hAnsi="仿宋" w:eastAsia="仿宋" w:cs="仿宋"/>
          <w:sz w:val="32"/>
          <w:szCs w:val="32"/>
        </w:rPr>
        <w:t>全市年平均气温16.1℃，最热月为7月份，平均气温27.9℃，最冷月为1月份，平均气温3.5℃，极端最高气温40.9℃，极端最低气温-16℃，无霜期235天，初霜期11月份，终霜期3月份，全年日照时数为1705小时；多年平均蒸发量800mm。池州市湖群平均水深2.2 m，水体年交换率约300%，周边农田径流及村镇生活废水输入外源营养物质较多。3-11月鱼类生长期内，浮游植物现存生物产量为1.26 mg/L，浮游植物PN/B系数取100，则浮游植物初级生产力为3780 kg/hm</w:t>
      </w:r>
      <w:r>
        <w:rPr>
          <w:rFonts w:hint="eastAsia" w:ascii="仿宋" w:hAnsi="仿宋" w:eastAsia="仿宋" w:cs="仿宋"/>
          <w:sz w:val="32"/>
          <w:szCs w:val="32"/>
          <w:vertAlign w:val="superscript"/>
        </w:rPr>
        <w:t>2</w:t>
      </w:r>
      <w:r>
        <w:rPr>
          <w:rFonts w:hint="eastAsia" w:ascii="仿宋" w:hAnsi="仿宋" w:eastAsia="仿宋" w:cs="仿宋"/>
          <w:sz w:val="32"/>
          <w:szCs w:val="32"/>
        </w:rPr>
        <w:t>；浮游动物现存生产量为2.65 mg/L，优势种为矩形龟甲轮虫和剑水蚤，浮游动物PN/B系数取60，则浮游动物初级生产力为4770 kg/hm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根据同类型湖泊研究资料，寡毛类和摇蚊幼虫P/B系数取2.5，螺蚌软体动物P/B系数取4。池州市湖群寡毛类和摇蚊幼虫等底栖动物现存生物量为1.12g/m</w:t>
      </w:r>
      <w:r>
        <w:rPr>
          <w:rFonts w:hint="eastAsia" w:ascii="仿宋" w:hAnsi="仿宋" w:eastAsia="仿宋" w:cs="仿宋"/>
          <w:sz w:val="32"/>
          <w:szCs w:val="32"/>
          <w:vertAlign w:val="superscript"/>
        </w:rPr>
        <w:t>2</w:t>
      </w:r>
      <w:r>
        <w:rPr>
          <w:rFonts w:hint="eastAsia" w:ascii="仿宋" w:hAnsi="仿宋" w:eastAsia="仿宋" w:cs="仿宋"/>
          <w:sz w:val="32"/>
          <w:szCs w:val="32"/>
        </w:rPr>
        <w:t>，则寡毛类和摇蚊幼虫等底栖动物初级生产力为28 kg/hm</w:t>
      </w:r>
      <w:r>
        <w:rPr>
          <w:rFonts w:hint="eastAsia" w:ascii="仿宋" w:hAnsi="仿宋" w:eastAsia="仿宋" w:cs="仿宋"/>
          <w:sz w:val="32"/>
          <w:szCs w:val="32"/>
          <w:vertAlign w:val="superscript"/>
        </w:rPr>
        <w:t>2</w:t>
      </w:r>
      <w:r>
        <w:rPr>
          <w:rFonts w:hint="eastAsia" w:ascii="仿宋" w:hAnsi="仿宋" w:eastAsia="仿宋" w:cs="仿宋"/>
          <w:sz w:val="32"/>
          <w:szCs w:val="32"/>
        </w:rPr>
        <w:t>；螺蚌软体动物现存生物量为12.22 g/m</w:t>
      </w:r>
      <w:r>
        <w:rPr>
          <w:rFonts w:hint="eastAsia" w:ascii="仿宋" w:hAnsi="仿宋" w:eastAsia="仿宋" w:cs="仿宋"/>
          <w:sz w:val="32"/>
          <w:szCs w:val="32"/>
          <w:vertAlign w:val="superscript"/>
        </w:rPr>
        <w:t>2</w:t>
      </w:r>
      <w:r>
        <w:rPr>
          <w:rFonts w:hint="eastAsia" w:ascii="仿宋" w:hAnsi="仿宋" w:eastAsia="仿宋" w:cs="仿宋"/>
          <w:sz w:val="32"/>
          <w:szCs w:val="32"/>
        </w:rPr>
        <w:t>，则螺蚌软体动物初级生产力为488.8 kg/hm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pStyle w:val="4"/>
        <w:ind w:left="0" w:firstLine="709"/>
        <w:rPr>
          <w:rFonts w:ascii="Times New Roman" w:hAnsi="Times New Roman" w:cs="Times New Roman"/>
        </w:rPr>
      </w:pPr>
      <w:bookmarkStart w:id="28" w:name="_Toc31730"/>
      <w:bookmarkStart w:id="29" w:name="_Toc17659"/>
      <w:bookmarkStart w:id="30" w:name="_Toc32123"/>
      <w:r>
        <w:rPr>
          <w:rFonts w:ascii="Times New Roman" w:hAnsi="Times New Roman" w:cs="Times New Roman"/>
        </w:rPr>
        <w:t>水域环境状况</w:t>
      </w:r>
      <w:bookmarkEnd w:id="28"/>
      <w:bookmarkEnd w:id="29"/>
      <w:bookmarkEnd w:id="30"/>
    </w:p>
    <w:p>
      <w:pPr>
        <w:spacing w:line="600" w:lineRule="exact"/>
        <w:ind w:firstLine="640" w:firstLineChars="200"/>
        <w:rPr>
          <w:rFonts w:ascii="Times New Roman" w:hAnsi="Times New Roman" w:eastAsia="Times New Roman"/>
          <w:sz w:val="30"/>
          <w:szCs w:val="30"/>
        </w:rPr>
      </w:pPr>
      <w:r>
        <w:rPr>
          <w:rFonts w:hint="eastAsia" w:ascii="仿宋" w:hAnsi="仿宋" w:eastAsia="仿宋" w:cs="仿宋"/>
          <w:sz w:val="32"/>
          <w:szCs w:val="32"/>
        </w:rPr>
        <w:t>池州市渔业自然环境总体优良，处亚热带季风区，气候温润，霜冻期短，鱼类生长期达7到8个月，适合于多数淡水鱼类的生活。年降水量在1400mm以上，且降水量主要集中在高温的4-9月，与天然饵料生物和鱼类快速生长繁殖对水量需求一致。地表水资源充沛，湖库、河流公共天然水域水质良好，PH值中性，营养盐类丰富，溶氧含量高，同时池州市地形比较复杂，水域类型多样，有利于天然鱼类及其饵料生物的摄食生长。</w:t>
      </w:r>
    </w:p>
    <w:p>
      <w:pPr>
        <w:pStyle w:val="4"/>
        <w:ind w:left="0" w:firstLine="686"/>
        <w:rPr>
          <w:rFonts w:ascii="Times New Roman" w:hAnsi="Times New Roman" w:cs="Times New Roman"/>
        </w:rPr>
      </w:pPr>
      <w:bookmarkStart w:id="31" w:name="_Toc25790"/>
      <w:bookmarkStart w:id="32" w:name="_Toc30027"/>
      <w:bookmarkStart w:id="33" w:name="_Toc28100"/>
      <w:r>
        <w:rPr>
          <w:rFonts w:ascii="Times New Roman" w:hAnsi="Times New Roman" w:cs="Times New Roman"/>
        </w:rPr>
        <w:t>水域滩涂承载力评价</w:t>
      </w:r>
      <w:bookmarkEnd w:id="31"/>
      <w:bookmarkEnd w:id="32"/>
      <w:bookmarkEnd w:id="33"/>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依据《内陆水域渔业自然资源调查手册（农业出版社，1991）》、《湖泊调查技术规程（科学出版社，2015）》等技术规程对全市水库山塘承载力进行评价，并根据周边地区同类型水体承载力予以优化调整。</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 湖泊承载力评价</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池州市湖群浮游植物优势种为绿藻和硅藻，易于鱼类转化吸收，平均利用率取30%，饵料系数取50，其鱼产潜力为33.08 kg/hm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浮游动物平均利用率取50%，饵料系数为10，其鱼产潜力为238.5 kg/hm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鲤、青鱼等对螺蚌软体动物利用率取25%，饵料系数取50，其鱼产潜力为2.44 kg/hm</w:t>
      </w:r>
      <w:r>
        <w:rPr>
          <w:rFonts w:hint="eastAsia" w:ascii="仿宋" w:hAnsi="仿宋" w:eastAsia="仿宋" w:cs="仿宋"/>
          <w:sz w:val="32"/>
          <w:szCs w:val="32"/>
          <w:vertAlign w:val="superscript"/>
        </w:rPr>
        <w:t>2</w:t>
      </w:r>
      <w:r>
        <w:rPr>
          <w:rFonts w:hint="eastAsia" w:ascii="仿宋" w:hAnsi="仿宋" w:eastAsia="仿宋" w:cs="仿宋"/>
          <w:sz w:val="32"/>
          <w:szCs w:val="32"/>
        </w:rPr>
        <w:t>；鲫等底层鱼类对其利用率取40%，饵料系数取6，其鱼产潜力为1.87 kg/hm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全市水库浮游生物初级生产力及鱼产潜力参照本地市湖群，底栖生物鱼产潜力不计，并根据多年实际投放、捕捞量优化调整。</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2. 池塘承载力评价</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养殖池塘承载力受养殖投入强度、技术模式、管理水平和环境约束力等因素影响，差异性较大。按安徽沿江地区标准化养殖池塘平均投入强度、管理水平、气候条件推算，池州市标准化池塘养殖鱼类的养殖容量上限取18吨/hm</w:t>
      </w:r>
      <w:r>
        <w:rPr>
          <w:rFonts w:hint="eastAsia" w:ascii="仿宋" w:hAnsi="仿宋" w:eastAsia="仿宋" w:cs="仿宋"/>
          <w:sz w:val="32"/>
          <w:szCs w:val="32"/>
          <w:vertAlign w:val="superscript"/>
        </w:rPr>
        <w:t>2</w:t>
      </w:r>
      <w:r>
        <w:rPr>
          <w:rFonts w:hint="eastAsia" w:ascii="仿宋" w:hAnsi="仿宋" w:eastAsia="仿宋" w:cs="仿宋"/>
          <w:sz w:val="32"/>
          <w:szCs w:val="32"/>
        </w:rPr>
        <w:t>，河沟养殖鱼类的养殖容量上限取7.5吨/ hm</w:t>
      </w:r>
      <w:r>
        <w:rPr>
          <w:rFonts w:hint="eastAsia" w:ascii="仿宋" w:hAnsi="仿宋" w:eastAsia="仿宋" w:cs="仿宋"/>
          <w:sz w:val="32"/>
          <w:szCs w:val="32"/>
          <w:vertAlign w:val="superscript"/>
        </w:rPr>
        <w:t>2</w:t>
      </w:r>
      <w:r>
        <w:rPr>
          <w:rFonts w:hint="eastAsia" w:ascii="仿宋" w:hAnsi="仿宋" w:eastAsia="仿宋" w:cs="仿宋"/>
          <w:sz w:val="32"/>
          <w:szCs w:val="32"/>
        </w:rPr>
        <w:t>，养殖虾蟹的养殖容量上限取3吨/ 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3. 稻田承载力评价</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根据安徽沿江地区稻渔综合种养模式下平均投入强度和生产水平，池州市宜渔稻田养殖虾、鳅等特色水产品的鱼产力约2.25吨/hm</w:t>
      </w:r>
      <w:r>
        <w:rPr>
          <w:rFonts w:hint="eastAsia" w:ascii="仿宋" w:hAnsi="仿宋" w:eastAsia="仿宋" w:cs="仿宋"/>
          <w:sz w:val="32"/>
          <w:szCs w:val="32"/>
          <w:vertAlign w:val="superscript"/>
        </w:rPr>
        <w:t>2</w:t>
      </w:r>
      <w:r>
        <w:rPr>
          <w:rFonts w:hint="eastAsia" w:ascii="仿宋" w:hAnsi="仿宋" w:eastAsia="仿宋" w:cs="仿宋"/>
          <w:sz w:val="32"/>
          <w:szCs w:val="32"/>
        </w:rPr>
        <w:t>。</w:t>
      </w:r>
    </w:p>
    <w:p>
      <w:pPr>
        <w:spacing w:line="600" w:lineRule="exact"/>
        <w:ind w:firstLine="640" w:firstLineChars="200"/>
        <w:rPr>
          <w:rFonts w:ascii="Times New Roman" w:hAnsi="Times New Roman" w:eastAsia="仿宋" w:cs="Times New Roman"/>
          <w:sz w:val="32"/>
          <w:szCs w:val="32"/>
        </w:rPr>
      </w:pPr>
      <w:r>
        <w:rPr>
          <w:rFonts w:hint="eastAsia" w:ascii="仿宋" w:hAnsi="仿宋" w:eastAsia="仿宋" w:cs="仿宋"/>
          <w:sz w:val="32"/>
          <w:szCs w:val="32"/>
        </w:rPr>
        <w:t>全市河流均为禁养区，其渔业承载力本规划不做评价。</w:t>
      </w:r>
    </w:p>
    <w:p>
      <w:pPr>
        <w:pStyle w:val="3"/>
        <w:ind w:firstLine="643"/>
        <w:rPr>
          <w:rFonts w:ascii="Times New Roman" w:hAnsi="Times New Roman" w:cs="Times New Roman"/>
        </w:rPr>
      </w:pPr>
      <w:bookmarkStart w:id="34" w:name="_Toc24310"/>
      <w:bookmarkStart w:id="35" w:name="_Toc8837"/>
      <w:bookmarkStart w:id="36" w:name="_Toc4338"/>
      <w:r>
        <w:rPr>
          <w:rFonts w:ascii="Times New Roman" w:hAnsi="Times New Roman" w:cs="Times New Roman"/>
        </w:rPr>
        <w:t>水产养殖产业发展分析</w:t>
      </w:r>
      <w:bookmarkEnd w:id="34"/>
      <w:bookmarkEnd w:id="35"/>
      <w:bookmarkEnd w:id="36"/>
    </w:p>
    <w:p>
      <w:pPr>
        <w:pStyle w:val="4"/>
        <w:rPr>
          <w:rFonts w:ascii="Times New Roman" w:hAnsi="Times New Roman" w:cs="Times New Roman"/>
        </w:rPr>
      </w:pPr>
      <w:bookmarkStart w:id="37" w:name="_Toc12754"/>
      <w:bookmarkStart w:id="38" w:name="_Toc6844"/>
      <w:bookmarkStart w:id="39" w:name="_Toc18663"/>
      <w:r>
        <w:rPr>
          <w:rFonts w:ascii="Times New Roman" w:hAnsi="Times New Roman" w:cs="Times New Roman"/>
        </w:rPr>
        <w:t>水产养殖发展现状</w:t>
      </w:r>
      <w:bookmarkEnd w:id="37"/>
      <w:bookmarkEnd w:id="38"/>
      <w:bookmarkEnd w:id="39"/>
    </w:p>
    <w:p>
      <w:pPr>
        <w:spacing w:line="600" w:lineRule="exact"/>
        <w:ind w:firstLine="640" w:firstLineChars="200"/>
        <w:rPr>
          <w:rFonts w:ascii="Times New Roman" w:hAnsi="Times New Roman" w:eastAsia="仿宋" w:cs="Times New Roman"/>
          <w:b/>
          <w:bCs/>
          <w:sz w:val="32"/>
          <w:szCs w:val="32"/>
        </w:rPr>
      </w:pPr>
      <w:r>
        <w:rPr>
          <w:rFonts w:hint="eastAsia" w:ascii="Times New Roman" w:hAnsi="Times New Roman" w:eastAsia="仿宋" w:cs="Times New Roman"/>
          <w:sz w:val="32"/>
          <w:szCs w:val="32"/>
        </w:rPr>
        <w:t>近年池州</w:t>
      </w:r>
      <w:r>
        <w:rPr>
          <w:rFonts w:ascii="Times New Roman" w:hAnsi="Times New Roman" w:eastAsia="仿宋" w:cs="Times New Roman"/>
          <w:sz w:val="32"/>
          <w:szCs w:val="32"/>
        </w:rPr>
        <w:t>水产品年产量</w:t>
      </w:r>
      <w:r>
        <w:rPr>
          <w:rFonts w:hint="eastAsia" w:ascii="Times New Roman" w:hAnsi="Times New Roman" w:eastAsia="仿宋" w:cs="Times New Roman"/>
          <w:sz w:val="32"/>
          <w:szCs w:val="32"/>
        </w:rPr>
        <w:t>、面积</w:t>
      </w:r>
      <w:r>
        <w:rPr>
          <w:rFonts w:ascii="Times New Roman" w:hAnsi="Times New Roman" w:eastAsia="仿宋" w:cs="Times New Roman"/>
          <w:sz w:val="32"/>
          <w:szCs w:val="32"/>
        </w:rPr>
        <w:t>基本稳定，201</w:t>
      </w:r>
      <w:r>
        <w:rPr>
          <w:rFonts w:hint="eastAsia" w:ascii="Times New Roman" w:hAnsi="Times New Roman" w:eastAsia="仿宋" w:cs="Times New Roman"/>
          <w:sz w:val="32"/>
          <w:szCs w:val="32"/>
        </w:rPr>
        <w:t>7</w:t>
      </w:r>
      <w:r>
        <w:rPr>
          <w:rFonts w:ascii="Times New Roman" w:hAnsi="Times New Roman" w:eastAsia="仿宋" w:cs="Times New Roman"/>
          <w:sz w:val="32"/>
          <w:szCs w:val="32"/>
        </w:rPr>
        <w:t>年</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水产品总产量</w:t>
      </w:r>
      <w:r>
        <w:rPr>
          <w:rFonts w:hint="eastAsia" w:ascii="Times New Roman" w:hAnsi="Times New Roman" w:eastAsia="仿宋" w:cs="Times New Roman"/>
          <w:sz w:val="32"/>
          <w:szCs w:val="32"/>
        </w:rPr>
        <w:t>122941吨，</w:t>
      </w:r>
      <w:r>
        <w:rPr>
          <w:rFonts w:ascii="Times New Roman" w:hAnsi="Times New Roman" w:eastAsia="仿宋" w:cs="Times New Roman"/>
          <w:sz w:val="32"/>
          <w:szCs w:val="32"/>
        </w:rPr>
        <w:t>同比增长</w:t>
      </w:r>
      <w:r>
        <w:rPr>
          <w:rFonts w:hint="eastAsia" w:ascii="Times New Roman" w:hAnsi="Times New Roman" w:eastAsia="仿宋" w:cs="Times New Roman"/>
          <w:sz w:val="32"/>
          <w:szCs w:val="32"/>
        </w:rPr>
        <w:t>2.14</w:t>
      </w:r>
      <w:r>
        <w:rPr>
          <w:rFonts w:ascii="Times New Roman" w:hAnsi="Times New Roman" w:eastAsia="仿宋" w:cs="Times New Roman"/>
          <w:sz w:val="32"/>
          <w:szCs w:val="32"/>
        </w:rPr>
        <w:t>%。</w:t>
      </w:r>
    </w:p>
    <w:p>
      <w:pPr>
        <w:spacing w:line="600" w:lineRule="exact"/>
        <w:ind w:firstLine="643" w:firstLineChars="200"/>
        <w:rPr>
          <w:rFonts w:ascii="Times New Roman" w:hAnsi="Times New Roman" w:eastAsia="仿宋" w:cs="Times New Roman"/>
          <w:bCs/>
          <w:sz w:val="32"/>
          <w:szCs w:val="32"/>
        </w:rPr>
      </w:pPr>
      <w:r>
        <w:rPr>
          <w:rFonts w:ascii="Times New Roman" w:hAnsi="Times New Roman" w:eastAsia="仿宋" w:cs="Times New Roman"/>
          <w:b/>
          <w:bCs/>
          <w:sz w:val="32"/>
          <w:szCs w:val="32"/>
        </w:rPr>
        <w:t>湖泊渔业面临转型发展。</w:t>
      </w:r>
      <w:r>
        <w:rPr>
          <w:rFonts w:hint="eastAsia" w:ascii="Times New Roman" w:hAnsi="Times New Roman" w:eastAsia="仿宋" w:cs="Times New Roman"/>
          <w:bCs/>
          <w:sz w:val="32"/>
          <w:szCs w:val="32"/>
        </w:rPr>
        <w:t>随着长江大保护战略的持续推进</w:t>
      </w:r>
      <w:r>
        <w:rPr>
          <w:rFonts w:ascii="Times New Roman" w:hAnsi="Times New Roman" w:eastAsia="仿宋" w:cs="Times New Roman"/>
          <w:bCs/>
          <w:sz w:val="32"/>
          <w:szCs w:val="32"/>
        </w:rPr>
        <w:t>，</w:t>
      </w:r>
      <w:r>
        <w:rPr>
          <w:rFonts w:hint="eastAsia" w:ascii="Times New Roman" w:hAnsi="Times New Roman" w:eastAsia="仿宋" w:cs="Times New Roman"/>
          <w:bCs/>
          <w:sz w:val="32"/>
          <w:szCs w:val="32"/>
        </w:rPr>
        <w:t>池州</w:t>
      </w:r>
      <w:r>
        <w:rPr>
          <w:rFonts w:ascii="Times New Roman" w:hAnsi="Times New Roman" w:eastAsia="仿宋" w:cs="Times New Roman"/>
          <w:sz w:val="32"/>
          <w:szCs w:val="32"/>
        </w:rPr>
        <w:t>湖泊</w:t>
      </w:r>
      <w:r>
        <w:rPr>
          <w:rFonts w:hint="eastAsia" w:ascii="Times New Roman" w:hAnsi="Times New Roman" w:eastAsia="仿宋" w:cs="Times New Roman"/>
          <w:sz w:val="32"/>
          <w:szCs w:val="32"/>
        </w:rPr>
        <w:t>、水库渔业生产方式正发生重大转变，正由人工养殖逐步转向生态增殖，湖泊水库渔业从业人员的思想观念仍需引导，亟需全面推进生态环保型渔业生产方式</w:t>
      </w:r>
      <w:r>
        <w:rPr>
          <w:rFonts w:ascii="Times New Roman" w:hAnsi="Times New Roman" w:eastAsia="仿宋" w:cs="Times New Roman"/>
          <w:sz w:val="32"/>
          <w:szCs w:val="32"/>
        </w:rPr>
        <w:t>。</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sz w:val="32"/>
          <w:szCs w:val="32"/>
        </w:rPr>
        <w:t>池塘特色渔业稳定发展。</w:t>
      </w:r>
      <w:r>
        <w:rPr>
          <w:rFonts w:ascii="Times New Roman" w:hAnsi="Times New Roman" w:eastAsia="仿宋" w:cs="Times New Roman"/>
          <w:sz w:val="32"/>
          <w:szCs w:val="32"/>
        </w:rPr>
        <w:t>201</w:t>
      </w:r>
      <w:r>
        <w:rPr>
          <w:rFonts w:hint="eastAsia" w:ascii="Times New Roman" w:hAnsi="Times New Roman" w:eastAsia="仿宋" w:cs="Times New Roman"/>
          <w:sz w:val="32"/>
          <w:szCs w:val="32"/>
        </w:rPr>
        <w:t>7</w:t>
      </w:r>
      <w:r>
        <w:rPr>
          <w:rFonts w:ascii="Times New Roman" w:hAnsi="Times New Roman" w:eastAsia="仿宋" w:cs="Times New Roman"/>
          <w:sz w:val="32"/>
          <w:szCs w:val="32"/>
        </w:rPr>
        <w:t>年</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养殖池塘面积稳定在</w:t>
      </w:r>
      <w:r>
        <w:rPr>
          <w:rFonts w:hint="eastAsia" w:ascii="Times New Roman" w:hAnsi="Times New Roman" w:eastAsia="仿宋" w:cs="Times New Roman"/>
          <w:sz w:val="32"/>
          <w:szCs w:val="32"/>
        </w:rPr>
        <w:t>481</w:t>
      </w:r>
      <w:r>
        <w:rPr>
          <w:rFonts w:ascii="Times New Roman" w:hAnsi="Times New Roman" w:eastAsia="仿宋" w:cs="Times New Roman"/>
          <w:sz w:val="32"/>
          <w:szCs w:val="32"/>
        </w:rPr>
        <w:t>4hm</w:t>
      </w:r>
      <w:r>
        <w:rPr>
          <w:rFonts w:ascii="Times New Roman" w:hAnsi="Times New Roman" w:eastAsia="仿宋" w:cs="Times New Roman"/>
          <w:sz w:val="32"/>
          <w:szCs w:val="32"/>
          <w:vertAlign w:val="superscript"/>
        </w:rPr>
        <w:t>2</w:t>
      </w:r>
      <w:r>
        <w:rPr>
          <w:rFonts w:hint="eastAsia" w:ascii="Times New Roman" w:hAnsi="Times New Roman" w:eastAsia="仿宋" w:cs="Times New Roman"/>
          <w:sz w:val="32"/>
          <w:szCs w:val="32"/>
        </w:rPr>
        <w:t>，</w:t>
      </w:r>
      <w:r>
        <w:rPr>
          <w:rFonts w:ascii="Times New Roman" w:hAnsi="Times New Roman" w:eastAsia="仿宋" w:cs="Times New Roman"/>
          <w:sz w:val="32"/>
          <w:szCs w:val="32"/>
        </w:rPr>
        <w:t>池塘养殖品种结构、产业业态正处加速调整期，鳜、黄鳝、黄颡鱼等名优品种成为发展重点；休闲渔业比重逐年提升，渔业三次产业正逐步优化；以设施循环水模式为代表的现代设施渔业是池州池塘渔业重要发展方向。</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sz w:val="32"/>
          <w:szCs w:val="32"/>
        </w:rPr>
        <w:t>稻田综合渔业快速发展。</w:t>
      </w:r>
      <w:r>
        <w:rPr>
          <w:rFonts w:hint="eastAsia" w:ascii="Times New Roman" w:hAnsi="Times New Roman" w:eastAsia="仿宋" w:cs="Times New Roman"/>
          <w:bCs/>
          <w:sz w:val="32"/>
          <w:szCs w:val="32"/>
        </w:rPr>
        <w:t>近年池州</w:t>
      </w:r>
      <w:r>
        <w:rPr>
          <w:rFonts w:ascii="Times New Roman" w:hAnsi="Times New Roman" w:eastAsia="仿宋" w:cs="Times New Roman"/>
          <w:sz w:val="32"/>
          <w:szCs w:val="32"/>
        </w:rPr>
        <w:t>稻渔综合种养面积增长</w:t>
      </w:r>
      <w:r>
        <w:rPr>
          <w:rFonts w:hint="eastAsia" w:ascii="Times New Roman" w:hAnsi="Times New Roman" w:eastAsia="仿宋" w:cs="Times New Roman"/>
          <w:sz w:val="32"/>
          <w:szCs w:val="32"/>
        </w:rPr>
        <w:t>迅猛。</w:t>
      </w:r>
      <w:r>
        <w:rPr>
          <w:rFonts w:ascii="Times New Roman" w:hAnsi="Times New Roman" w:eastAsia="仿宋" w:cs="Times New Roman"/>
          <w:bCs/>
          <w:sz w:val="32"/>
          <w:szCs w:val="32"/>
        </w:rPr>
        <w:t>201</w:t>
      </w:r>
      <w:r>
        <w:rPr>
          <w:rFonts w:hint="eastAsia" w:ascii="Times New Roman" w:hAnsi="Times New Roman" w:eastAsia="仿宋" w:cs="Times New Roman"/>
          <w:bCs/>
          <w:sz w:val="32"/>
          <w:szCs w:val="32"/>
        </w:rPr>
        <w:t>7</w:t>
      </w:r>
      <w:r>
        <w:rPr>
          <w:rFonts w:ascii="Times New Roman" w:hAnsi="Times New Roman" w:eastAsia="仿宋" w:cs="Times New Roman"/>
          <w:bCs/>
          <w:sz w:val="32"/>
          <w:szCs w:val="32"/>
        </w:rPr>
        <w:t>年，</w:t>
      </w:r>
      <w:r>
        <w:rPr>
          <w:rFonts w:hint="eastAsia" w:ascii="Times New Roman" w:hAnsi="Times New Roman" w:eastAsia="仿宋" w:cs="Times New Roman"/>
          <w:sz w:val="32"/>
          <w:szCs w:val="32"/>
        </w:rPr>
        <w:t>全市</w:t>
      </w:r>
      <w:r>
        <w:rPr>
          <w:rFonts w:ascii="Times New Roman" w:hAnsi="Times New Roman" w:eastAsia="仿宋" w:cs="Times New Roman"/>
          <w:sz w:val="32"/>
          <w:szCs w:val="32"/>
        </w:rPr>
        <w:t>已发展稻渔综合种养</w:t>
      </w:r>
      <w:r>
        <w:rPr>
          <w:rFonts w:hint="eastAsia" w:ascii="Times New Roman" w:hAnsi="Times New Roman" w:eastAsia="仿宋" w:cs="Times New Roman"/>
          <w:sz w:val="32"/>
          <w:szCs w:val="32"/>
        </w:rPr>
        <w:t>4850</w:t>
      </w:r>
      <w:r>
        <w:rPr>
          <w:rFonts w:ascii="Times New Roman" w:hAnsi="Times New Roman" w:eastAsia="仿宋" w:cs="Times New Roman"/>
          <w:sz w:val="32"/>
          <w:szCs w:val="32"/>
        </w:rPr>
        <w:t xml:space="preserve"> 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，稻虾共作、稻虾连作为稻渔综合种养主要模式，是农业农村部重点推广的“双千工程”。稻田化肥、农药减施效果显著，亩均产水稻550公斤、虾稻</w:t>
      </w:r>
      <w:r>
        <w:rPr>
          <w:rFonts w:hint="eastAsia" w:ascii="Times New Roman" w:hAnsi="Times New Roman" w:eastAsia="仿宋" w:cs="Times New Roman"/>
          <w:sz w:val="32"/>
          <w:szCs w:val="32"/>
        </w:rPr>
        <w:t>米</w:t>
      </w:r>
      <w:r>
        <w:rPr>
          <w:rFonts w:ascii="Times New Roman" w:hAnsi="Times New Roman" w:eastAsia="仿宋" w:cs="Times New Roman"/>
          <w:sz w:val="32"/>
          <w:szCs w:val="32"/>
        </w:rPr>
        <w:t>属生态优质大</w:t>
      </w:r>
      <w:r>
        <w:rPr>
          <w:rFonts w:hint="eastAsia" w:ascii="Times New Roman" w:hAnsi="Times New Roman" w:eastAsia="仿宋" w:cs="Times New Roman"/>
          <w:sz w:val="32"/>
          <w:szCs w:val="32"/>
        </w:rPr>
        <w:t>米</w:t>
      </w:r>
      <w:r>
        <w:rPr>
          <w:rFonts w:ascii="Times New Roman" w:hAnsi="Times New Roman" w:eastAsia="仿宋" w:cs="Times New Roman"/>
          <w:sz w:val="32"/>
          <w:szCs w:val="32"/>
        </w:rPr>
        <w:t>，增效显著，鱼虾亩均增效1500元以上。同时能够有效降低农业污源污染，稻渔综合种养模式有效改善了农业生态环境，促进农业提质增效和农民增产增收，成为池州渔业又一主战场。全市宜渔稻田总面积约</w:t>
      </w:r>
      <w:r>
        <w:rPr>
          <w:rFonts w:hint="eastAsia" w:ascii="Times New Roman" w:hAnsi="Times New Roman" w:eastAsia="仿宋" w:cs="Times New Roman"/>
          <w:sz w:val="32"/>
          <w:szCs w:val="32"/>
        </w:rPr>
        <w:t>1.6万</w:t>
      </w:r>
      <w:r>
        <w:rPr>
          <w:rFonts w:ascii="Times New Roman" w:hAnsi="Times New Roman" w:eastAsia="仿宋" w:cs="Times New Roman"/>
          <w:sz w:val="32"/>
          <w:szCs w:val="32"/>
        </w:rPr>
        <w:t>hm</w:t>
      </w:r>
      <w:r>
        <w:rPr>
          <w:rFonts w:ascii="Times New Roman" w:hAnsi="Times New Roman" w:eastAsia="仿宋" w:cs="Times New Roman"/>
          <w:sz w:val="32"/>
          <w:szCs w:val="32"/>
          <w:vertAlign w:val="superscript"/>
        </w:rPr>
        <w:t>2</w:t>
      </w:r>
      <w:r>
        <w:rPr>
          <w:rFonts w:ascii="Times New Roman" w:hAnsi="Times New Roman" w:eastAsia="仿宋" w:cs="Times New Roman"/>
          <w:sz w:val="32"/>
          <w:szCs w:val="32"/>
        </w:rPr>
        <w:t>，稻渔综合种养产业尚有较大拓展空间。</w:t>
      </w:r>
    </w:p>
    <w:p>
      <w:pPr>
        <w:pStyle w:val="4"/>
        <w:rPr>
          <w:rFonts w:ascii="Times New Roman" w:hAnsi="Times New Roman" w:cs="Times New Roman"/>
        </w:rPr>
      </w:pPr>
      <w:bookmarkStart w:id="40" w:name="_Toc15471"/>
      <w:bookmarkStart w:id="41" w:name="_Toc3158"/>
      <w:bookmarkStart w:id="42" w:name="_Toc22329"/>
      <w:r>
        <w:rPr>
          <w:rFonts w:ascii="Times New Roman" w:hAnsi="Times New Roman" w:cs="Times New Roman"/>
        </w:rPr>
        <w:t>区域经济发展方向</w:t>
      </w:r>
      <w:bookmarkEnd w:id="40"/>
      <w:bookmarkEnd w:id="41"/>
      <w:bookmarkEnd w:id="42"/>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根据《</w:t>
      </w:r>
      <w:r>
        <w:rPr>
          <w:rFonts w:hint="eastAsia" w:ascii="Times New Roman" w:hAnsi="Times New Roman" w:eastAsia="仿宋_GB2312" w:cs="Times New Roman"/>
          <w:sz w:val="32"/>
          <w:szCs w:val="32"/>
        </w:rPr>
        <w:t>池州</w:t>
      </w:r>
      <w:r>
        <w:rPr>
          <w:rFonts w:ascii="Times New Roman" w:hAnsi="Times New Roman" w:eastAsia="仿宋_GB2312" w:cs="Times New Roman"/>
          <w:sz w:val="32"/>
          <w:szCs w:val="32"/>
        </w:rPr>
        <w:t>市国民经济和社会发展第十三个五年规划纲》等</w:t>
      </w:r>
      <w:r>
        <w:rPr>
          <w:rFonts w:hint="eastAsia" w:ascii="Times New Roman" w:hAnsi="Times New Roman" w:eastAsia="仿宋_GB2312" w:cs="Times New Roman"/>
          <w:sz w:val="32"/>
          <w:szCs w:val="32"/>
        </w:rPr>
        <w:t>中长期规划</w:t>
      </w:r>
      <w:r>
        <w:rPr>
          <w:rFonts w:ascii="Times New Roman" w:hAnsi="Times New Roman" w:eastAsia="仿宋_GB2312" w:cs="Times New Roman"/>
          <w:sz w:val="32"/>
          <w:szCs w:val="32"/>
        </w:rPr>
        <w:t>规划部署，</w:t>
      </w:r>
      <w:r>
        <w:rPr>
          <w:rFonts w:hint="eastAsia" w:ascii="Times New Roman" w:hAnsi="Times New Roman" w:eastAsia="仿宋_GB2312" w:cs="Times New Roman"/>
          <w:sz w:val="32"/>
          <w:szCs w:val="32"/>
        </w:rPr>
        <w:t>池州市将</w:t>
      </w:r>
      <w:r>
        <w:rPr>
          <w:rFonts w:ascii="Times New Roman" w:hAnsi="Times New Roman" w:eastAsia="仿宋_GB2312" w:cs="Times New Roman"/>
          <w:sz w:val="32"/>
          <w:szCs w:val="32"/>
        </w:rPr>
        <w:t>以调结构、转方式、促升级为主线，以提高经济发展质量效益为中心，大力推动工业和文化旅游业“双支撑”，一、二、三产融合发展，新型城镇化和美丽乡村建设协调发展，</w:t>
      </w:r>
      <w:r>
        <w:rPr>
          <w:rFonts w:hint="eastAsia" w:ascii="Times New Roman" w:hAnsi="Times New Roman" w:eastAsia="仿宋_GB2312" w:cs="Times New Roman"/>
          <w:sz w:val="32"/>
          <w:szCs w:val="32"/>
        </w:rPr>
        <w:t>打造</w:t>
      </w:r>
      <w:r>
        <w:rPr>
          <w:rFonts w:ascii="Times New Roman" w:hAnsi="Times New Roman" w:eastAsia="仿宋_GB2312" w:cs="Times New Roman"/>
          <w:sz w:val="32"/>
          <w:szCs w:val="32"/>
        </w:rPr>
        <w:t>国家</w:t>
      </w:r>
      <w:r>
        <w:rPr>
          <w:rFonts w:hint="eastAsia" w:ascii="Times New Roman" w:hAnsi="Times New Roman" w:eastAsia="仿宋_GB2312" w:cs="Times New Roman"/>
          <w:sz w:val="32"/>
          <w:szCs w:val="32"/>
          <w:lang w:eastAsia="zh-CN"/>
        </w:rPr>
        <w:t>全域</w:t>
      </w:r>
      <w:r>
        <w:rPr>
          <w:rFonts w:ascii="Times New Roman" w:hAnsi="Times New Roman" w:eastAsia="仿宋_GB2312" w:cs="Times New Roman"/>
          <w:sz w:val="32"/>
          <w:szCs w:val="32"/>
        </w:rPr>
        <w:t>旅游示范区、美丽中国建设先行区，如期同步全面建成小康社会。</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农业领域</w:t>
      </w:r>
      <w:r>
        <w:rPr>
          <w:rFonts w:hint="eastAsia" w:ascii="Times New Roman" w:hAnsi="Times New Roman" w:eastAsia="仿宋_GB2312" w:cs="Times New Roman"/>
          <w:sz w:val="32"/>
          <w:szCs w:val="32"/>
        </w:rPr>
        <w:t>，以发展多种形式规模经营为核心，以构建现代农业经营体系、生产体系和产业体系为重点，推动农业发展由数量增长为主转到数量质量效益并重上来，加快形成粮经饲统筹、农林牧渔结合、种养加一体、一二三产融合发展新格局，走产出高效、产品安全、资源节约、环境友好的农业现代化道路。</w:t>
      </w:r>
    </w:p>
    <w:p>
      <w:pPr>
        <w:spacing w:line="600" w:lineRule="exact"/>
        <w:ind w:firstLine="643" w:firstLineChars="200"/>
        <w:rPr>
          <w:rFonts w:ascii="Times New Roman" w:hAnsi="Times New Roman" w:eastAsia="仿宋_GB2312" w:cs="Times New Roman"/>
          <w:sz w:val="32"/>
          <w:szCs w:val="32"/>
        </w:rPr>
      </w:pPr>
      <w:r>
        <w:rPr>
          <w:rFonts w:hint="eastAsia" w:ascii="Times New Roman" w:hAnsi="Times New Roman" w:eastAsia="仿宋_GB2312" w:cs="Times New Roman"/>
          <w:b/>
          <w:bCs/>
          <w:sz w:val="32"/>
          <w:szCs w:val="32"/>
        </w:rPr>
        <w:t>全面提高农产品质量安全水平。</w:t>
      </w:r>
      <w:r>
        <w:rPr>
          <w:rFonts w:hint="eastAsia" w:ascii="Times New Roman" w:hAnsi="Times New Roman" w:eastAsia="仿宋_GB2312" w:cs="Times New Roman"/>
          <w:sz w:val="32"/>
          <w:szCs w:val="32"/>
        </w:rPr>
        <w:t>推进县（区）、镇街两级农产品质量安全监管体系建设，重点是加快区农产品质量安全中心建设。加强“三品一标”认证和登记管理，充分发挥农产品产地和产品认证对标准化进程的引领和带动作用。转变农业生产方式，大力发展水稻等农作物绿色增产模式生产，主要农作物的化肥和农药利用率提高、实现使用量零增长。</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推进农业标准化和信息化。</w:t>
      </w:r>
      <w:r>
        <w:rPr>
          <w:rFonts w:ascii="Times New Roman" w:hAnsi="Times New Roman" w:eastAsia="仿宋" w:cs="Times New Roman"/>
          <w:sz w:val="32"/>
          <w:szCs w:val="32"/>
        </w:rPr>
        <w:t>加快农业标准化进程，继续推进园艺作物标准化生产、畜禽标准化规模养殖和水产健康养殖，加强源头治理，规范生产过程，着力打造农业标准化生产基地和农产品知名品牌。开展“互联网+”现代农业行动，鼓励互联网企业建立农业服务平台，加快发展农村电子商务，推广成熟可复制的农业物联网应用模式，强化农业综合信息服务能力。</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积极推进农业结构调整。</w:t>
      </w:r>
      <w:r>
        <w:rPr>
          <w:rFonts w:ascii="Times New Roman" w:hAnsi="Times New Roman" w:eastAsia="仿宋" w:cs="Times New Roman"/>
          <w:sz w:val="32"/>
          <w:szCs w:val="32"/>
        </w:rPr>
        <w:t>加快推进高标准农田建设，进一步优化农业区域布局，优先发展比较优势突出的产业或产品，逐步形成具有区域特色的农业主导产品、支柱产业和特色品牌，着力打造优质粮油、畜禽、水产、蔬菜、茶叶、焦枣等优势特色农产品产业带。发展观光农业、乡村旅游等农村休闲旅游业。大力推进农机农艺融合，着力加强良种良法配套、农产品精深加工、生态环境保护、资源高效利用等关键技术研发和应用，加快农业科技成果转化。</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推进一二三产融合发展。</w:t>
      </w:r>
      <w:r>
        <w:rPr>
          <w:rFonts w:ascii="Times New Roman" w:hAnsi="Times New Roman" w:eastAsia="仿宋" w:cs="Times New Roman"/>
          <w:sz w:val="32"/>
          <w:szCs w:val="32"/>
        </w:rPr>
        <w:t>大力发展特色种养业、农产品加工业和农村服务业，推进生产、加工、物流、营销等一体化发展，延伸产业链，增加附加值。创新农业新业态和商业新模式，引进电子商务进入农业领域，大力发展观光农业、乡村旅游、农村餐饮娱乐业和旅馆服务业等农村休闲旅游业。积极争创国家级、省级休闲农业与乡村旅游示范点</w:t>
      </w:r>
      <w:r>
        <w:rPr>
          <w:rFonts w:hint="eastAsia" w:ascii="Times New Roman" w:hAnsi="Times New Roman" w:eastAsia="仿宋" w:cs="Times New Roman"/>
          <w:sz w:val="32"/>
          <w:szCs w:val="32"/>
        </w:rPr>
        <w:t>。</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推动“互联网+”农业。</w:t>
      </w:r>
      <w:r>
        <w:rPr>
          <w:rFonts w:ascii="Times New Roman" w:hAnsi="Times New Roman" w:eastAsia="仿宋" w:cs="Times New Roman"/>
          <w:sz w:val="32"/>
          <w:szCs w:val="32"/>
        </w:rPr>
        <w:t>推广成熟可复制的农业物联网应用模式。逐步普及基于环境感知、实时监测、自动控制的网络化农业环境监测系统。完善农副产品质量安全追溯体系。充分利用现有互联网资源，构建农副产品质量安全追溯公共服务平台。</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发展乡村文化旅游业。</w:t>
      </w:r>
      <w:r>
        <w:rPr>
          <w:rFonts w:ascii="Times New Roman" w:hAnsi="Times New Roman" w:eastAsia="仿宋" w:cs="Times New Roman"/>
          <w:sz w:val="32"/>
          <w:szCs w:val="32"/>
        </w:rPr>
        <w:t>落实政府主导、项目带动、产业融合、可持续发展基本方略，充分发挥杏花村文化旅游区带动作用，依托升金湖自然保护区、大王洞、霄坑大峡谷、九华天池、万罗山等知名旅游景点，利用镇街自然资源、生态资源优势，挖掘民俗文化内涵，推动旅游、生态、农业、文化、科技融合发展。</w:t>
      </w:r>
    </w:p>
    <w:p>
      <w:pPr>
        <w:spacing w:line="600" w:lineRule="exact"/>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加快发展农村电商。</w:t>
      </w:r>
      <w:r>
        <w:rPr>
          <w:rFonts w:ascii="Times New Roman" w:hAnsi="Times New Roman" w:eastAsia="仿宋" w:cs="Times New Roman"/>
          <w:sz w:val="32"/>
          <w:szCs w:val="32"/>
        </w:rPr>
        <w:t>鼓励各类主体建设涉农电商平台，拓宽特色农产品、民俗产品、乡村旅游等市场。加强交通、信息、产地集配、冷链等设施建设，鼓励镇街商贸企业建设配送中心，发展第三方配送，提高流通效率。大力培养农村电商人才，加大金融支持力度，推动创业就业，优化电商发展环境。</w:t>
      </w:r>
    </w:p>
    <w:p>
      <w:pPr>
        <w:spacing w:line="600" w:lineRule="exact"/>
        <w:ind w:firstLine="643" w:firstLineChars="200"/>
        <w:rPr>
          <w:rFonts w:ascii="Times New Roman" w:hAnsi="Times New Roman" w:eastAsia="仿宋" w:cs="Times New Roman"/>
          <w:b/>
          <w:bCs/>
          <w:sz w:val="32"/>
          <w:szCs w:val="32"/>
        </w:rPr>
      </w:pPr>
      <w:r>
        <w:rPr>
          <w:rFonts w:hint="eastAsia" w:ascii="Times New Roman" w:hAnsi="Times New Roman" w:eastAsia="仿宋" w:cs="Times New Roman"/>
          <w:b/>
          <w:bCs/>
          <w:sz w:val="32"/>
          <w:szCs w:val="32"/>
        </w:rPr>
        <w:t>生态领域，引导限制开发区域适度有序发展和禁止开发区域保护。</w:t>
      </w:r>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中部丘陵区和北部沿江圩区的镇街等生态经济区，在保护生态的前提下，积极发展特色生态经济，大力发展农产品加工业、乡村旅游业等适宜性产业，成为保障生态产品、农产品供给的重要区域和工业化、城市化适度推进的区域。对生态经济区内的镇街主要考核生态产品提供能力等指标。南部中低山区镇街等生态保护区，要大力加强生态建设，维护生物多样性，促进水土保持和水源涵养，适度发展生态农业、生态旅游等产业。对生态保护区内的镇街主要考核生态建设、环境保护等指标。升金湖国家级自然保护区、贵池十八索自然保护区、老山自然保护区、齐山－秋浦仙境风景名胜区等自然保护区域，以及重要湖泊水库、水源保护地等，要实行强制保护、禁止对自然生态人为干扰活动，确保本地区生态平衡和自然特色、改善区域生态环境质量。</w:t>
      </w:r>
    </w:p>
    <w:p>
      <w:pPr>
        <w:spacing w:line="600" w:lineRule="exact"/>
        <w:ind w:firstLine="643" w:firstLineChars="200"/>
        <w:rPr>
          <w:rFonts w:ascii="Times New Roman" w:hAnsi="Times New Roman" w:eastAsia="仿宋" w:cs="Times New Roman"/>
          <w:bCs/>
          <w:sz w:val="32"/>
          <w:szCs w:val="32"/>
        </w:rPr>
      </w:pPr>
      <w:r>
        <w:rPr>
          <w:rFonts w:ascii="Times New Roman" w:hAnsi="Times New Roman" w:eastAsia="仿宋" w:cs="Times New Roman"/>
          <w:b/>
          <w:bCs/>
          <w:sz w:val="32"/>
          <w:szCs w:val="32"/>
        </w:rPr>
        <w:t>未来发展取向。</w:t>
      </w:r>
      <w:r>
        <w:rPr>
          <w:rFonts w:ascii="Times New Roman" w:hAnsi="Times New Roman" w:eastAsia="仿宋" w:cs="Times New Roman"/>
          <w:sz w:val="32"/>
          <w:szCs w:val="32"/>
        </w:rPr>
        <w:t>随着城乡居民可支配收入稳步提升，居民食物消费的主要特征表现为：食物消费总量仍处在上涨中但增速趋缓，肉类食品的增速逐步放缓，同时奶类和水产消费量迎来高速增长期。供给丰富和收入增加使得居民对食物的消费由吃饱向营养方向转变，这一时期及未来一段时间内，池州乃至全国居民的食物消费都处在结构调整升级中，优质蛋白类食物的消费量将会进一步增加。优质水产品将成为消费市场主流，以生态环保、健康为特征的清洁生产方式将优揽全局。</w:t>
      </w:r>
      <w:r>
        <w:rPr>
          <w:rFonts w:ascii="Times New Roman" w:hAnsi="Times New Roman" w:eastAsia="仿宋" w:cs="Times New Roman"/>
          <w:bCs/>
          <w:sz w:val="32"/>
          <w:szCs w:val="32"/>
        </w:rPr>
        <w:t>按照目前的增长趋势，2025年池州及周边地区城乡居民平均</w:t>
      </w:r>
      <w:r>
        <w:rPr>
          <w:rFonts w:ascii="Times New Roman" w:hAnsi="Times New Roman" w:eastAsia="仿宋" w:cs="Times New Roman"/>
          <w:sz w:val="32"/>
          <w:szCs w:val="32"/>
        </w:rPr>
        <w:t>可支配收入将大幅度提升，居民</w:t>
      </w:r>
      <w:r>
        <w:rPr>
          <w:rFonts w:ascii="Times New Roman" w:hAnsi="Times New Roman" w:eastAsia="仿宋" w:cs="Times New Roman"/>
          <w:bCs/>
          <w:sz w:val="32"/>
          <w:szCs w:val="32"/>
        </w:rPr>
        <w:t>恩格尔系数将进一步降低。人们用于休闲观光、健康养生的消费支出比例将显著提高。</w:t>
      </w:r>
    </w:p>
    <w:p>
      <w:pPr>
        <w:spacing w:line="600" w:lineRule="exact"/>
        <w:ind w:firstLine="640" w:firstLineChars="200"/>
        <w:rPr>
          <w:rFonts w:hint="eastAsia" w:ascii="Times New Roman" w:hAnsi="Times New Roman" w:eastAsia="仿宋" w:cs="Times New Roman"/>
          <w:sz w:val="32"/>
          <w:szCs w:val="32"/>
          <w:lang w:eastAsia="zh-CN"/>
        </w:rPr>
      </w:pPr>
      <w:r>
        <w:rPr>
          <w:rFonts w:hint="eastAsia" w:ascii="Times New Roman" w:hAnsi="Times New Roman" w:eastAsia="仿宋" w:cs="Times New Roman"/>
          <w:sz w:val="32"/>
          <w:szCs w:val="32"/>
        </w:rPr>
        <w:t>池州地处江南水乡，山灵水秀，</w:t>
      </w:r>
      <w:r>
        <w:rPr>
          <w:rFonts w:ascii="Times New Roman" w:hAnsi="Times New Roman" w:eastAsia="仿宋" w:cs="Times New Roman"/>
          <w:sz w:val="32"/>
          <w:szCs w:val="32"/>
        </w:rPr>
        <w:t>生态资源、人文资源、佛教文化融为一体，旅游产品丰富</w:t>
      </w:r>
      <w:r>
        <w:rPr>
          <w:rFonts w:hint="eastAsia" w:ascii="Times New Roman" w:hAnsi="Times New Roman" w:eastAsia="仿宋" w:cs="Times New Roman"/>
          <w:sz w:val="32"/>
          <w:szCs w:val="32"/>
        </w:rPr>
        <w:t>。根据</w:t>
      </w:r>
      <w:r>
        <w:rPr>
          <w:rFonts w:hint="eastAsia" w:ascii="Times New Roman" w:hAnsi="Times New Roman" w:eastAsia="仿宋" w:cs="Times New Roman"/>
          <w:sz w:val="32"/>
          <w:szCs w:val="32"/>
          <w:lang w:eastAsia="zh-CN"/>
        </w:rPr>
        <w:t>《池州市全域旅游发展规划（</w:t>
      </w:r>
      <w:r>
        <w:rPr>
          <w:rFonts w:hint="eastAsia" w:ascii="Times New Roman" w:hAnsi="Times New Roman" w:eastAsia="仿宋" w:cs="Times New Roman"/>
          <w:sz w:val="32"/>
          <w:szCs w:val="32"/>
          <w:lang w:val="en-US" w:eastAsia="zh-CN"/>
        </w:rPr>
        <w:t>2016-2025</w:t>
      </w:r>
      <w:r>
        <w:rPr>
          <w:rFonts w:hint="eastAsia" w:ascii="Times New Roman" w:hAnsi="Times New Roman" w:eastAsia="仿宋" w:cs="Times New Roman"/>
          <w:sz w:val="32"/>
          <w:szCs w:val="32"/>
          <w:lang w:eastAsia="zh-CN"/>
        </w:rPr>
        <w:t>）》及《池州市“十四五”文化和旅游发展规划》，正倾力打造军事历史文化旅游、山水池州美食游、诗意文化茶旅等精品线路。</w:t>
      </w:r>
      <w:r>
        <w:rPr>
          <w:rFonts w:ascii="Times New Roman" w:hAnsi="Times New Roman" w:eastAsia="仿宋" w:cs="Times New Roman"/>
          <w:sz w:val="32"/>
          <w:szCs w:val="32"/>
        </w:rPr>
        <w:t>同时，积极结合乡村旅游和旅游扶贫建设，重点打造</w:t>
      </w:r>
      <w:r>
        <w:rPr>
          <w:rFonts w:hint="eastAsia" w:ascii="Times New Roman" w:hAnsi="Times New Roman" w:eastAsia="仿宋" w:cs="Times New Roman"/>
          <w:sz w:val="32"/>
          <w:szCs w:val="32"/>
          <w:lang w:eastAsia="zh-CN"/>
        </w:rPr>
        <w:t>富硒美食养生之旅、山野乡村茶旅等乡村旅游精品线路。</w:t>
      </w:r>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全市河网纵横，湖库棋布，水质优良，</w:t>
      </w:r>
      <w:r>
        <w:rPr>
          <w:rFonts w:ascii="Times New Roman" w:hAnsi="Times New Roman" w:eastAsia="仿宋" w:cs="Times New Roman"/>
          <w:sz w:val="32"/>
          <w:szCs w:val="32"/>
        </w:rPr>
        <w:t>得天独厚的水域资源为生态</w:t>
      </w:r>
      <w:r>
        <w:rPr>
          <w:rFonts w:hint="eastAsia" w:ascii="Times New Roman" w:hAnsi="Times New Roman" w:eastAsia="仿宋" w:cs="Times New Roman"/>
          <w:sz w:val="32"/>
          <w:szCs w:val="32"/>
        </w:rPr>
        <w:t>休闲</w:t>
      </w:r>
      <w:r>
        <w:rPr>
          <w:rFonts w:ascii="Times New Roman" w:hAnsi="Times New Roman" w:eastAsia="仿宋" w:cs="Times New Roman"/>
          <w:sz w:val="32"/>
          <w:szCs w:val="32"/>
        </w:rPr>
        <w:t>渔业提供了广阔的发展空间。通过拓展内涵，拉长产业链，生态休闲渔业</w:t>
      </w:r>
      <w:r>
        <w:rPr>
          <w:rFonts w:hint="eastAsia" w:ascii="Times New Roman" w:hAnsi="Times New Roman" w:eastAsia="仿宋" w:cs="Times New Roman"/>
          <w:sz w:val="32"/>
          <w:szCs w:val="32"/>
        </w:rPr>
        <w:t>有望打造成与观光农业、旅游业、服务业融为一体的多层次、多功能全方位渔业新格局，丰富全域旅游内容，实现与旅游业协同发展。</w:t>
      </w:r>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开发特色康养水产品、休闲体验渔产品，</w:t>
      </w:r>
      <w:r>
        <w:rPr>
          <w:rFonts w:ascii="Times New Roman" w:hAnsi="Times New Roman" w:eastAsia="仿宋" w:cs="Times New Roman"/>
          <w:sz w:val="32"/>
          <w:szCs w:val="32"/>
        </w:rPr>
        <w:t>加速渔业三产融合发展</w:t>
      </w:r>
      <w:r>
        <w:rPr>
          <w:rFonts w:hint="eastAsia" w:ascii="Times New Roman" w:hAnsi="Times New Roman" w:eastAsia="仿宋" w:cs="Times New Roman"/>
          <w:sz w:val="32"/>
          <w:szCs w:val="32"/>
        </w:rPr>
        <w:t>，是池州渔业的重要发展方向</w:t>
      </w:r>
      <w:r>
        <w:rPr>
          <w:rFonts w:ascii="Times New Roman" w:hAnsi="Times New Roman" w:eastAsia="仿宋" w:cs="Times New Roman"/>
          <w:bCs/>
          <w:sz w:val="32"/>
          <w:szCs w:val="32"/>
        </w:rPr>
        <w:t>。</w:t>
      </w:r>
    </w:p>
    <w:p>
      <w:pPr>
        <w:pStyle w:val="4"/>
        <w:rPr>
          <w:rFonts w:ascii="Times New Roman" w:hAnsi="Times New Roman" w:cs="Times New Roman"/>
        </w:rPr>
      </w:pPr>
      <w:bookmarkStart w:id="43" w:name="_Toc31696"/>
      <w:r>
        <w:rPr>
          <w:rFonts w:ascii="Times New Roman" w:hAnsi="Times New Roman" w:cs="Times New Roman"/>
        </w:rPr>
        <w:t>水产养殖前景预测</w:t>
      </w:r>
      <w:bookmarkEnd w:id="43"/>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当前，我国社会主要矛盾已经转化为人民日益增长的美好生活需要和不平衡不充分的发展之间的矛盾。消费者对水产食品消费的营养健康要求越来越高，不再是简单地追求廉价的商品，更加注重生态绿色健康产品和休闲体验产品，发展绿色生态渔业和休闲观光渔业已成为我国渔业结构调整的重要方向。</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目前池州渔业在发展模式上还没有完全摆脱以产量扩张为主的粗放型经营方式，渔业生产与水环境保护的矛盾已显；渔业产业结构不尽合理，渔业二、三产业相对薄弱。湖泊、水库禁养、限养之后，渔业空间将显著缩减，渔业转型升级和提质增效已十分迫切。</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池州交通便捷，</w:t>
      </w:r>
      <w:r>
        <w:rPr>
          <w:rFonts w:hint="eastAsia" w:ascii="Times New Roman" w:hAnsi="Times New Roman" w:eastAsia="仿宋" w:cs="Times New Roman"/>
          <w:sz w:val="32"/>
          <w:szCs w:val="32"/>
        </w:rPr>
        <w:t>居江南渔业资源优势、旅游资源优势和良好区位优势</w:t>
      </w:r>
      <w:r>
        <w:rPr>
          <w:rFonts w:ascii="Times New Roman" w:hAnsi="Times New Roman" w:eastAsia="仿宋" w:cs="Times New Roman"/>
          <w:sz w:val="32"/>
          <w:szCs w:val="32"/>
        </w:rPr>
        <w:t>；中小型水库众多，生态环境良好，绿色生态渔业资源禀赋高。本规划实施后，将进一步优化池州渔业产业布局，引领全市渔业转型发展，高污染、高消耗的传统渔业模式将被绿色、健康、优质、高效渔业所取代，冷鲜加工产品将逐步取代初级鲜活产品。借力绿色营销、电子商务、冷链物流、</w:t>
      </w:r>
      <w:r>
        <w:rPr>
          <w:rFonts w:ascii="Times New Roman" w:hAnsi="Times New Roman" w:eastAsia="仿宋" w:cs="Times New Roman"/>
          <w:bCs/>
          <w:sz w:val="32"/>
          <w:szCs w:val="32"/>
        </w:rPr>
        <w:t>品牌运作、产品认证、</w:t>
      </w:r>
      <w:r>
        <w:rPr>
          <w:rFonts w:ascii="Times New Roman" w:hAnsi="Times New Roman" w:eastAsia="仿宋" w:cs="Times New Roman"/>
          <w:sz w:val="32"/>
          <w:szCs w:val="32"/>
        </w:rPr>
        <w:t>三产融合</w:t>
      </w:r>
      <w:r>
        <w:rPr>
          <w:rFonts w:ascii="Times New Roman" w:hAnsi="Times New Roman" w:eastAsia="仿宋" w:cs="Times New Roman"/>
          <w:bCs/>
          <w:sz w:val="32"/>
          <w:szCs w:val="32"/>
        </w:rPr>
        <w:t>等现代产业化生产经营方式，渔业经济附加值将显著提升，渔业生态效益更加突显。</w:t>
      </w:r>
    </w:p>
    <w:p>
      <w:pPr>
        <w:pStyle w:val="3"/>
        <w:ind w:firstLine="643"/>
        <w:rPr>
          <w:rFonts w:ascii="Times New Roman" w:hAnsi="Times New Roman" w:cs="Times New Roman"/>
          <w:szCs w:val="22"/>
        </w:rPr>
      </w:pPr>
      <w:bookmarkStart w:id="44" w:name="_Toc27443"/>
      <w:r>
        <w:rPr>
          <w:rFonts w:ascii="Times New Roman" w:hAnsi="Times New Roman" w:cs="Times New Roman"/>
          <w:szCs w:val="22"/>
        </w:rPr>
        <w:t>养殖水域滩涂开发总体思路</w:t>
      </w:r>
      <w:bookmarkEnd w:id="44"/>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以习近平新时代中国特色社会主义思想为指导，全面贯彻“创新、协调、绿色、开放、共享”发展理念，大力实施乡村振兴战略，主动适应我国社会经济新常态条件下水产品消费需求和生态环保需求，依据全市水域滩涂承载力，科学匹配，合理布局，以提质增效、减量增收、绿色发展、富裕农民为目标，以健康养殖、保护资源、做强产业为方向，深入推进渔业供给侧结构性改革，加快转变渔业发展方式，提升渔业生产标准化、生态化和产业化水平，促进渔业可持续发展，提高渔业发展的质量效益和竞争力。发挥本规划的约束和引领作用，提高养殖水域滩涂利用率，实现全市养殖水域滩涂有效管控和科学利用，妥善处理好生产发展与生态保护的关系。</w:t>
      </w:r>
    </w:p>
    <w:p>
      <w:pPr>
        <w:rPr>
          <w:rFonts w:ascii="Times New Roman" w:hAnsi="Times New Roman" w:eastAsia="仿宋" w:cs="Times New Roman"/>
          <w:sz w:val="32"/>
          <w:szCs w:val="32"/>
        </w:rPr>
        <w:sectPr>
          <w:pgSz w:w="11906" w:h="16838"/>
          <w:pgMar w:top="1440" w:right="1800" w:bottom="1440" w:left="1800" w:header="851" w:footer="992" w:gutter="0"/>
          <w:pgNumType w:fmt="decimal"/>
          <w:cols w:space="425" w:num="1"/>
          <w:docGrid w:type="lines" w:linePitch="312" w:charSpace="0"/>
        </w:sectPr>
      </w:pPr>
    </w:p>
    <w:p>
      <w:pPr>
        <w:pStyle w:val="2"/>
        <w:ind w:firstLine="964" w:firstLineChars="200"/>
        <w:rPr>
          <w:rFonts w:ascii="Times New Roman" w:hAnsi="Times New Roman" w:cs="Times New Roman"/>
          <w:sz w:val="48"/>
          <w:szCs w:val="48"/>
        </w:rPr>
      </w:pPr>
      <w:bookmarkStart w:id="45" w:name="_Toc32464"/>
      <w:r>
        <w:rPr>
          <w:rFonts w:ascii="Times New Roman" w:hAnsi="Times New Roman" w:cs="Times New Roman"/>
          <w:sz w:val="48"/>
          <w:szCs w:val="48"/>
        </w:rPr>
        <w:t>养殖水域滩涂功能区划</w:t>
      </w:r>
      <w:bookmarkEnd w:id="45"/>
    </w:p>
    <w:p>
      <w:pPr>
        <w:pStyle w:val="3"/>
        <w:ind w:firstLine="643"/>
        <w:rPr>
          <w:rFonts w:ascii="Times New Roman" w:hAnsi="Times New Roman" w:cs="Times New Roman"/>
        </w:rPr>
      </w:pPr>
      <w:bookmarkStart w:id="46" w:name="_Toc1120"/>
      <w:r>
        <w:rPr>
          <w:rFonts w:ascii="Times New Roman" w:hAnsi="Times New Roman" w:cs="Times New Roman"/>
        </w:rPr>
        <w:t>功能区划概述</w:t>
      </w:r>
      <w:bookmarkEnd w:id="46"/>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依据有关法律法规及农业农村部印发的《养殖水域滩涂规划编制工作规范》，结合池州市相关上位规划及养殖水域滩涂资源现状，将全市养殖水域滩涂划设为禁止养殖区、限制养殖区和养殖区3大功能区。</w:t>
      </w:r>
    </w:p>
    <w:p>
      <w:pPr>
        <w:spacing w:line="600" w:lineRule="exact"/>
        <w:ind w:firstLine="600" w:firstLineChars="200"/>
        <w:rPr>
          <w:rFonts w:ascii="Times New Roman" w:hAnsi="Times New Roman" w:eastAsia="仿宋_GB2312" w:cs="Times New Roman"/>
          <w:sz w:val="32"/>
          <w:szCs w:val="32"/>
        </w:rPr>
      </w:pPr>
      <w:r>
        <w:rPr>
          <w:rFonts w:ascii="Times New Roman" w:hAnsi="Times New Roman" w:eastAsia="仿宋_GB2312" w:cs="Times New Roman"/>
          <w:sz w:val="30"/>
          <w:szCs w:val="30"/>
        </w:rPr>
        <w:t>全市饮用水源一级保护区应设为禁养区；全市开放性河流</w:t>
      </w:r>
      <w:r>
        <w:rPr>
          <w:rFonts w:ascii="Times New Roman" w:hAnsi="Times New Roman" w:eastAsia="仿宋_GB2312" w:cs="Times New Roman"/>
          <w:sz w:val="32"/>
          <w:szCs w:val="32"/>
        </w:rPr>
        <w:t>主河道及支流</w:t>
      </w:r>
      <w:r>
        <w:rPr>
          <w:rFonts w:ascii="Times New Roman" w:hAnsi="Times New Roman" w:eastAsia="仿宋_GB2312" w:cs="Times New Roman"/>
          <w:sz w:val="30"/>
          <w:szCs w:val="30"/>
        </w:rPr>
        <w:t>为重要行洪、输水通道，应设为禁养区；</w:t>
      </w:r>
      <w:r>
        <w:rPr>
          <w:rFonts w:hint="eastAsia" w:ascii="Times New Roman" w:hAnsi="Times New Roman" w:eastAsia="仿宋_GB2312" w:cs="Times New Roman"/>
          <w:sz w:val="32"/>
          <w:szCs w:val="32"/>
        </w:rPr>
        <w:t>沿江湖泊均为重要湿地或自然保护区，属生态敏感区</w:t>
      </w:r>
      <w:r>
        <w:rPr>
          <w:rFonts w:ascii="Times New Roman" w:hAnsi="Times New Roman" w:eastAsia="仿宋_GB2312" w:cs="Times New Roman"/>
          <w:sz w:val="32"/>
          <w:szCs w:val="32"/>
        </w:rPr>
        <w:t>，应设为禁养区</w:t>
      </w:r>
      <w:r>
        <w:rPr>
          <w:rFonts w:hint="eastAsia" w:ascii="Times New Roman" w:hAnsi="Times New Roman" w:eastAsia="仿宋_GB2312" w:cs="Times New Roman"/>
          <w:sz w:val="32"/>
          <w:szCs w:val="32"/>
        </w:rPr>
        <w:t>或限养区</w:t>
      </w:r>
      <w:r>
        <w:rPr>
          <w:rFonts w:ascii="Times New Roman" w:hAnsi="Times New Roman" w:eastAsia="仿宋_GB2312" w:cs="Times New Roman"/>
          <w:sz w:val="32"/>
          <w:szCs w:val="32"/>
        </w:rPr>
        <w:t>。</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全市中型、小（一）型、小（</w:t>
      </w:r>
      <w:r>
        <w:rPr>
          <w:rFonts w:hint="eastAsia" w:ascii="Times New Roman" w:hAnsi="Times New Roman" w:eastAsia="仿宋_GB2312" w:cs="Times New Roman"/>
          <w:sz w:val="32"/>
          <w:szCs w:val="32"/>
        </w:rPr>
        <w:t>二</w:t>
      </w:r>
      <w:r>
        <w:rPr>
          <w:rFonts w:ascii="Times New Roman" w:hAnsi="Times New Roman" w:eastAsia="仿宋_GB2312" w:cs="Times New Roman"/>
          <w:sz w:val="32"/>
          <w:szCs w:val="32"/>
        </w:rPr>
        <w:t>）型水库多位于河流水系上游，</w:t>
      </w:r>
      <w:r>
        <w:rPr>
          <w:rFonts w:hint="eastAsia" w:ascii="Times New Roman" w:hAnsi="Times New Roman" w:eastAsia="仿宋_GB2312" w:cs="Times New Roman"/>
          <w:sz w:val="32"/>
          <w:szCs w:val="32"/>
        </w:rPr>
        <w:t>部分水库是城乡集中式饮用水源地，</w:t>
      </w:r>
      <w:r>
        <w:rPr>
          <w:rFonts w:ascii="Times New Roman" w:hAnsi="Times New Roman" w:eastAsia="仿宋_GB2312" w:cs="Times New Roman"/>
          <w:sz w:val="32"/>
          <w:szCs w:val="32"/>
        </w:rPr>
        <w:t>属生态敏感区域，应设为禁养区</w:t>
      </w:r>
      <w:r>
        <w:rPr>
          <w:rFonts w:hint="eastAsia" w:ascii="Times New Roman" w:hAnsi="Times New Roman" w:eastAsia="仿宋_GB2312" w:cs="Times New Roman"/>
          <w:sz w:val="32"/>
          <w:szCs w:val="32"/>
        </w:rPr>
        <w:t>或</w:t>
      </w:r>
      <w:r>
        <w:rPr>
          <w:rFonts w:ascii="Times New Roman" w:hAnsi="Times New Roman" w:eastAsia="仿宋_GB2312" w:cs="Times New Roman"/>
          <w:sz w:val="32"/>
          <w:szCs w:val="32"/>
        </w:rPr>
        <w:t>限养区；</w:t>
      </w:r>
      <w:r>
        <w:rPr>
          <w:rFonts w:hint="eastAsia" w:ascii="Times New Roman" w:hAnsi="Times New Roman" w:eastAsia="仿宋_GB2312" w:cs="Times New Roman"/>
          <w:sz w:val="32"/>
          <w:szCs w:val="32"/>
        </w:rPr>
        <w:t>池州是旅游大市，境内景区众多，景区内水域滩涂应设为限养区；</w:t>
      </w:r>
      <w:r>
        <w:rPr>
          <w:rFonts w:ascii="Times New Roman" w:hAnsi="Times New Roman" w:eastAsia="仿宋_GB2312" w:cs="Times New Roman"/>
          <w:sz w:val="32"/>
          <w:szCs w:val="32"/>
        </w:rPr>
        <w:t>全市城镇</w:t>
      </w:r>
      <w:r>
        <w:rPr>
          <w:rFonts w:hint="eastAsia" w:ascii="Times New Roman" w:hAnsi="Times New Roman" w:eastAsia="仿宋_GB2312" w:cs="Times New Roman"/>
          <w:sz w:val="32"/>
          <w:szCs w:val="32"/>
        </w:rPr>
        <w:t>规划</w:t>
      </w:r>
      <w:r>
        <w:rPr>
          <w:rFonts w:ascii="Times New Roman" w:hAnsi="Times New Roman" w:eastAsia="仿宋_GB2312" w:cs="Times New Roman"/>
          <w:sz w:val="32"/>
          <w:szCs w:val="32"/>
        </w:rPr>
        <w:t>空间</w:t>
      </w:r>
      <w:r>
        <w:rPr>
          <w:rFonts w:hint="eastAsia" w:ascii="Times New Roman" w:hAnsi="Times New Roman" w:eastAsia="仿宋_GB2312" w:cs="Times New Roman"/>
          <w:sz w:val="32"/>
          <w:szCs w:val="32"/>
        </w:rPr>
        <w:t>及生态红线范围内水域滩涂</w:t>
      </w:r>
      <w:r>
        <w:rPr>
          <w:rFonts w:ascii="Times New Roman" w:hAnsi="Times New Roman" w:eastAsia="仿宋_GB2312" w:cs="Times New Roman"/>
          <w:sz w:val="32"/>
          <w:szCs w:val="32"/>
        </w:rPr>
        <w:t>，应设为限养区。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全市禁养区、限养区范围以外</w:t>
      </w:r>
      <w:r>
        <w:rPr>
          <w:rFonts w:hint="eastAsia" w:ascii="Times New Roman" w:hAnsi="Times New Roman" w:eastAsia="仿宋_GB2312" w:cs="Times New Roman"/>
          <w:sz w:val="32"/>
          <w:szCs w:val="32"/>
        </w:rPr>
        <w:t>现有</w:t>
      </w:r>
      <w:r>
        <w:rPr>
          <w:rFonts w:ascii="Times New Roman" w:hAnsi="Times New Roman" w:eastAsia="仿宋_GB2312" w:cs="Times New Roman"/>
          <w:sz w:val="32"/>
          <w:szCs w:val="32"/>
        </w:rPr>
        <w:t>宜渔池塘等类型水域滩涂以及宜渔稻田，可设为养殖区。</w:t>
      </w:r>
    </w:p>
    <w:p>
      <w:pPr>
        <w:pStyle w:val="3"/>
        <w:ind w:firstLine="643"/>
        <w:rPr>
          <w:rFonts w:ascii="Times New Roman" w:hAnsi="Times New Roman" w:cs="Times New Roman"/>
        </w:rPr>
      </w:pPr>
      <w:bookmarkStart w:id="47" w:name="_Toc29977"/>
      <w:r>
        <w:rPr>
          <w:rFonts w:ascii="Times New Roman" w:hAnsi="Times New Roman" w:cs="Times New Roman"/>
        </w:rPr>
        <w:t>禁止养殖区</w:t>
      </w:r>
      <w:bookmarkEnd w:id="47"/>
    </w:p>
    <w:p>
      <w:pPr>
        <w:numPr>
          <w:ilvl w:val="0"/>
          <w:numId w:val="7"/>
        </w:numPr>
        <w:spacing w:line="600" w:lineRule="exact"/>
        <w:ind w:firstLine="644"/>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类型</w:t>
      </w:r>
    </w:p>
    <w:p>
      <w:pPr>
        <w:numPr>
          <w:ilvl w:val="0"/>
          <w:numId w:val="8"/>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饮用水源一级保护区（代码：1-1）；</w:t>
      </w:r>
    </w:p>
    <w:p>
      <w:pPr>
        <w:numPr>
          <w:ilvl w:val="0"/>
          <w:numId w:val="8"/>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自然保护区核心区与缓冲区</w:t>
      </w:r>
      <w:r>
        <w:rPr>
          <w:rFonts w:hint="eastAsia" w:ascii="Times New Roman" w:hAnsi="Times New Roman" w:eastAsia="仿宋" w:cs="Times New Roman"/>
          <w:sz w:val="32"/>
          <w:szCs w:val="32"/>
        </w:rPr>
        <w:t>、</w:t>
      </w:r>
      <w:r>
        <w:rPr>
          <w:rFonts w:ascii="Times New Roman" w:hAnsi="Times New Roman" w:eastAsia="仿宋" w:cs="Times New Roman"/>
          <w:sz w:val="32"/>
          <w:szCs w:val="32"/>
        </w:rPr>
        <w:t>水产种质资源保护区核心区（代码：1-1）；</w:t>
      </w:r>
    </w:p>
    <w:p>
      <w:pPr>
        <w:numPr>
          <w:ilvl w:val="0"/>
          <w:numId w:val="8"/>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河道行洪区、堤防安全保护区（代码：1-2）</w:t>
      </w:r>
      <w:r>
        <w:rPr>
          <w:rFonts w:hint="eastAsia" w:ascii="Times New Roman" w:hAnsi="Times New Roman" w:eastAsia="仿宋" w:cs="Times New Roman"/>
          <w:sz w:val="32"/>
          <w:szCs w:val="32"/>
        </w:rPr>
        <w:t>；</w:t>
      </w:r>
    </w:p>
    <w:p>
      <w:pPr>
        <w:numPr>
          <w:ilvl w:val="0"/>
          <w:numId w:val="8"/>
        </w:numPr>
        <w:spacing w:line="600" w:lineRule="exact"/>
        <w:ind w:left="0"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有毒有害物质超过规定标准的水体（</w:t>
      </w:r>
      <w:r>
        <w:rPr>
          <w:rFonts w:ascii="Times New Roman" w:hAnsi="Times New Roman" w:eastAsia="仿宋" w:cs="Times New Roman"/>
          <w:sz w:val="32"/>
          <w:szCs w:val="32"/>
        </w:rPr>
        <w:t>代码：</w:t>
      </w:r>
      <w:r>
        <w:rPr>
          <w:rFonts w:hint="eastAsia" w:ascii="Times New Roman" w:hAnsi="Times New Roman" w:eastAsia="仿宋" w:cs="Times New Roman"/>
          <w:sz w:val="32"/>
          <w:szCs w:val="32"/>
        </w:rPr>
        <w:t>1-3）；</w:t>
      </w:r>
    </w:p>
    <w:p>
      <w:pPr>
        <w:numPr>
          <w:ilvl w:val="0"/>
          <w:numId w:val="8"/>
        </w:numPr>
        <w:spacing w:line="600" w:lineRule="exact"/>
        <w:ind w:left="0"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法律法规规定的其他禁止养殖区（</w:t>
      </w:r>
      <w:r>
        <w:rPr>
          <w:rFonts w:ascii="Times New Roman" w:hAnsi="Times New Roman" w:eastAsia="仿宋" w:cs="Times New Roman"/>
          <w:sz w:val="32"/>
          <w:szCs w:val="32"/>
        </w:rPr>
        <w:t>代码：</w:t>
      </w:r>
      <w:r>
        <w:rPr>
          <w:rFonts w:hint="eastAsia" w:ascii="Times New Roman" w:hAnsi="Times New Roman" w:eastAsia="仿宋" w:cs="Times New Roman"/>
          <w:sz w:val="32"/>
          <w:szCs w:val="32"/>
        </w:rPr>
        <w:t>1-4）。</w:t>
      </w:r>
    </w:p>
    <w:p>
      <w:pPr>
        <w:numPr>
          <w:ilvl w:val="0"/>
          <w:numId w:val="7"/>
        </w:numPr>
        <w:spacing w:line="600" w:lineRule="exact"/>
        <w:ind w:firstLine="616"/>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范围</w:t>
      </w:r>
    </w:p>
    <w:p>
      <w:pPr>
        <w:numPr>
          <w:ilvl w:val="0"/>
          <w:numId w:val="9"/>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全市集中式饮用水水源地（含备用水源）一级保护区水域</w:t>
      </w:r>
    </w:p>
    <w:p>
      <w:pPr>
        <w:spacing w:line="600" w:lineRule="exact"/>
        <w:ind w:left="420" w:leftChars="20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全市集中式饮用水水源地（含备用水源）一级保护区依相应核准文件，无核准文件的参照《饮用水水源保护区划分技术规范(HJ-T338-2007)》划设标准</w:t>
      </w:r>
      <w:r>
        <w:rPr>
          <w:rFonts w:hint="eastAsia" w:ascii="Times New Roman" w:hAnsi="Times New Roman" w:eastAsia="仿宋_GB2312" w:cs="Times New Roman"/>
          <w:sz w:val="32"/>
          <w:szCs w:val="32"/>
        </w:rPr>
        <w:t>：</w:t>
      </w:r>
    </w:p>
    <w:p>
      <w:pPr>
        <w:spacing w:line="600" w:lineRule="exact"/>
        <w:ind w:left="420" w:leftChars="20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河流</w:t>
      </w:r>
      <w:r>
        <w:rPr>
          <w:rFonts w:hint="eastAsia" w:ascii="Times New Roman" w:hAnsi="Times New Roman" w:eastAsia="仿宋_GB2312" w:cs="Times New Roman"/>
          <w:sz w:val="32"/>
          <w:szCs w:val="32"/>
        </w:rPr>
        <w:t>型</w:t>
      </w:r>
      <w:r>
        <w:rPr>
          <w:rFonts w:ascii="Times New Roman" w:hAnsi="Times New Roman" w:eastAsia="仿宋_GB2312" w:cs="Times New Roman"/>
          <w:sz w:val="32"/>
          <w:szCs w:val="32"/>
        </w:rPr>
        <w:t>集中式饮用水水源地（含备用水源）一级保护区</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取水口上游1000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，下游不小于100</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的河道水域；</w:t>
      </w:r>
    </w:p>
    <w:p>
      <w:pPr>
        <w:spacing w:line="600" w:lineRule="exact"/>
        <w:ind w:left="420" w:leftChars="20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中小型湖泊、水库集中式饮用水水源地（含备用水源）一级保护区</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取水口半径300m范围内的水域；</w:t>
      </w:r>
    </w:p>
    <w:p>
      <w:pPr>
        <w:spacing w:line="600" w:lineRule="exact"/>
        <w:ind w:left="420" w:leftChars="20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大中型湖泊、大型水库集中式饮用水水源地（含备用水源）一级保护区</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取水口半径500m范围内的水域。</w:t>
      </w:r>
    </w:p>
    <w:p>
      <w:pPr>
        <w:numPr>
          <w:ilvl w:val="0"/>
          <w:numId w:val="9"/>
        </w:numPr>
        <w:spacing w:line="600" w:lineRule="exact"/>
        <w:ind w:left="0" w:firstLine="1063" w:firstLineChars="331"/>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升金湖国家级自然保护区核心区与缓冲区</w:t>
      </w:r>
    </w:p>
    <w:p>
      <w:pPr>
        <w:spacing w:line="600" w:lineRule="exact"/>
        <w:ind w:left="420" w:leftChars="200"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核心区</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面积10150hm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保护区面积的30.4%。东自黄湓河人渡经燕窝，经高桥湖西岸、外排、神山头、沙山、下毛咀、毕家咀至杨峨头。南自杨峨头向南经沿湖圩堤经张溪河、楂树墩圩堤至烂稻陈。西自烂稻陈沿湖岸线经横洲、赤岸至小路嘴。北自小路嘴沿湖岸经朱家咀、唐家咀、七星墩至黄湓河人渡。该区域是珍稀水禽的主要分布区，是具有代表性和完整性的自然生态系统地段，禁止除科研、监测以外的一切人为活动。</w:t>
      </w:r>
    </w:p>
    <w:p>
      <w:pPr>
        <w:spacing w:line="600" w:lineRule="exact"/>
        <w:ind w:left="420" w:leftChars="200"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缓冲区</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面积10300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,占保护区总面积的30.9%。分为四片，其中：东片，3875 hm2，自高桥湖西侧湖岸线经外排、神山头、沙山，由沙山向南直线至下毛咀，经坦埠、汪村、唐田、枣章、新屋、徐家、石闸、叶家咀、窑山接高桥湖西侧湖岸线。南片，3175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，包括白联圩、复兴圩、楂刺墩圩、白密圩、蜜蜂圩、王坝圩、东湖圩、五星圩。西片：1075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，包括原瓦垅乡东侧的新胜圩、横洲。北片：2175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自章家村路口向东经坝塘、姜坝、张村、刘家、曹家坝至南闸，由南闸向南经周家咀、花家咀、龙家咀、张家店、朱家咀、杨家咀、小路咀、兆夫村、东咀至章家村路口。具体范围以《安徽升金湖国家级自然保护区总体规划（2011-2020）》为准。</w:t>
      </w:r>
    </w:p>
    <w:p>
      <w:pPr>
        <w:numPr>
          <w:ilvl w:val="0"/>
          <w:numId w:val="9"/>
        </w:numPr>
        <w:spacing w:line="600" w:lineRule="exact"/>
        <w:ind w:left="0" w:firstLine="1076" w:firstLineChars="335"/>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十八索省级自然保护区核心区与缓冲区</w:t>
      </w:r>
    </w:p>
    <w:p>
      <w:pPr>
        <w:spacing w:line="600" w:lineRule="exact"/>
        <w:ind w:left="420" w:leftChars="200"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核心区</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面积为1056hm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，占保护区总面积28.9％。由十八索湖、双丰圩组成，其中十八索湖面积为506hm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、双丰圩面积为550hm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、此区域是湿地生态环境最好，各种越冬水禽栖息最多的地方，也是珍稀水禽分布较集中的区域。</w:t>
      </w:r>
    </w:p>
    <w:p>
      <w:pPr>
        <w:spacing w:line="600" w:lineRule="exact"/>
        <w:ind w:left="420" w:leftChars="200"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缓冲区</w:t>
      </w:r>
      <w:r>
        <w:rPr>
          <w:rFonts w:hint="eastAsia" w:ascii="Times New Roman" w:hAnsi="Times New Roman" w:eastAsia="仿宋_GB2312" w:cs="Times New Roman"/>
          <w:b/>
          <w:bCs/>
          <w:sz w:val="32"/>
          <w:szCs w:val="32"/>
        </w:rPr>
        <w:t>：</w:t>
      </w:r>
      <w:r>
        <w:rPr>
          <w:rFonts w:ascii="Times New Roman" w:hAnsi="Times New Roman" w:eastAsia="仿宋_GB2312" w:cs="Times New Roman"/>
          <w:sz w:val="32"/>
          <w:szCs w:val="32"/>
        </w:rPr>
        <w:t>缓冲区面积630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，占保护区总面积17.3％。分布在十八索湖和双丰圩核心区外围成带状分布，尽量避开人居活动区，最窄宽度达到100m。</w:t>
      </w:r>
    </w:p>
    <w:p>
      <w:pPr>
        <w:numPr>
          <w:ilvl w:val="0"/>
          <w:numId w:val="9"/>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秋浦河特有鱼类国家级水产种质资源保护区核心区</w:t>
      </w:r>
    </w:p>
    <w:p>
      <w:pPr>
        <w:spacing w:line="600" w:lineRule="exact"/>
        <w:ind w:firstLine="672" w:firstLineChars="210"/>
        <w:rPr>
          <w:rFonts w:ascii="Times New Roman" w:hAnsi="Times New Roman" w:eastAsia="仿宋_GB2312" w:cs="Times New Roman"/>
          <w:sz w:val="32"/>
          <w:szCs w:val="32"/>
        </w:rPr>
      </w:pPr>
      <w:r>
        <w:rPr>
          <w:rFonts w:ascii="Times New Roman" w:hAnsi="Times New Roman" w:eastAsia="仿宋_GB2312" w:cs="Times New Roman"/>
          <w:sz w:val="32"/>
          <w:szCs w:val="32"/>
        </w:rPr>
        <w:t>从天生湖大湖及由天生湖大堤北（E 117°21′38.6"，N 30°34′34.06"）、天生湖大堤南（E 117°21′10.1", N 30°33′56.5"）、普丰圩（E 117°20′21.3"，N 30°31′27.7"）、下贵滩对岸（E 117°18′26.9", N 30°31′27.5"）、木闸口（E 117°19′22.6", N 30°31′29.7"）、西埂人渡（E 117°21′38.1", N30°35′19.6"）等6个拐点沿河道方向顺次连线所围的水域，水域长9.5km，面积为808 hm2，具体范围以《秋浦河特有鱼类国家级水产种质资源保护区总体规划》为准。</w:t>
      </w:r>
    </w:p>
    <w:p>
      <w:pPr>
        <w:numPr>
          <w:ilvl w:val="0"/>
          <w:numId w:val="9"/>
        </w:numPr>
        <w:spacing w:line="600" w:lineRule="exact"/>
        <w:ind w:left="0" w:firstLine="675" w:firstLineChars="21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安徽秋浦河源国家湿地公园</w:t>
      </w:r>
    </w:p>
    <w:p>
      <w:pPr>
        <w:spacing w:line="600" w:lineRule="exact"/>
        <w:ind w:firstLine="672" w:firstLineChars="210"/>
        <w:rPr>
          <w:rFonts w:ascii="Times New Roman" w:hAnsi="Times New Roman" w:eastAsia="仿宋_GB2312" w:cs="Times New Roman"/>
          <w:sz w:val="32"/>
          <w:szCs w:val="32"/>
        </w:rPr>
      </w:pPr>
      <w:r>
        <w:rPr>
          <w:rFonts w:ascii="Times New Roman" w:hAnsi="Times New Roman" w:eastAsia="仿宋_GB2312" w:cs="Times New Roman"/>
          <w:sz w:val="32"/>
          <w:szCs w:val="32"/>
        </w:rPr>
        <w:t>秋浦河上游区域，包括公信河、演溪河以及鸿凌河部分河段，湿地公园范围包括河道、河床、河滩及其两边50m～1000m不等的范围内，涉及乡镇包括仙寓镇、大演乡和横渡镇，1850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，具体边界范围以《安徽秋浦河源国家湿地公园总体规划》为准。</w:t>
      </w:r>
    </w:p>
    <w:p>
      <w:pPr>
        <w:numPr>
          <w:ilvl w:val="0"/>
          <w:numId w:val="9"/>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黄湓河鰕虎鱼、青虾国家级水产种质资源保护区核心区</w:t>
      </w:r>
    </w:p>
    <w:p>
      <w:pPr>
        <w:spacing w:line="600" w:lineRule="exact"/>
        <w:ind w:firstLine="502" w:firstLineChars="157"/>
        <w:rPr>
          <w:rFonts w:ascii="Times New Roman" w:hAnsi="Times New Roman" w:eastAsia="仿宋_GB2312" w:cs="Times New Roman"/>
          <w:sz w:val="32"/>
          <w:szCs w:val="32"/>
        </w:rPr>
      </w:pPr>
      <w:r>
        <w:rPr>
          <w:rFonts w:ascii="Times New Roman" w:hAnsi="Times New Roman" w:eastAsia="仿宋_GB2312" w:cs="Times New Roman"/>
          <w:sz w:val="32"/>
          <w:szCs w:val="32"/>
        </w:rPr>
        <w:t>位于黄湓河张溪段张溪镇仙亭村上邹至苦菱沟（东经117°05′20″-117°01′03″北纬30°12′30″-30°16′44″）之间，全长10.6公里。面积211.9hm2。具体坐标为：117°05′20.7″E，30°12′30.1″N（上邹）—117°05′59.3″E，30°13′53.7″N（港口傅）—117°04′46.8″E，30°14′06.8″N（塔里）—117°04′34.6″E，30°14′18.8″N（石潭）—117°04′33.9″E，30°15′21.8″N（东田）—117°04′12.2″E，30°15′23.6″N(后杨)—117°03′39.3″E，30°15′24.1″N（檀村）—117°02′23.7″E，30°15′55.9″N（高傅家）—117°02′35.7″E，30°16′07.8″N（高王家）—117°02′24.9″E，30°46′16.7″N(傅家河)—117°01′03.3″E，30°16′44.3″N（苦菱沟）等11个拐点沿河道方向顺次连线所围的水域。</w:t>
      </w:r>
    </w:p>
    <w:p>
      <w:pPr>
        <w:numPr>
          <w:ilvl w:val="0"/>
          <w:numId w:val="9"/>
        </w:numPr>
        <w:spacing w:line="600" w:lineRule="exact"/>
        <w:ind w:left="0" w:firstLine="504" w:firstLineChars="157"/>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牯牛降国家级自然保护区核心区</w:t>
      </w:r>
    </w:p>
    <w:p>
      <w:pPr>
        <w:spacing w:line="600" w:lineRule="exact"/>
        <w:ind w:firstLine="502" w:firstLineChars="157"/>
        <w:rPr>
          <w:rFonts w:ascii="Times New Roman" w:hAnsi="Times New Roman" w:eastAsia="仿宋_GB2312" w:cs="Times New Roman"/>
          <w:sz w:val="32"/>
          <w:szCs w:val="32"/>
        </w:rPr>
      </w:pPr>
      <w:r>
        <w:rPr>
          <w:rFonts w:ascii="Times New Roman" w:hAnsi="Times New Roman" w:eastAsia="仿宋_GB2312" w:cs="Times New Roman"/>
          <w:sz w:val="32"/>
          <w:szCs w:val="32"/>
        </w:rPr>
        <w:t>具体边界范围以</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牯牛降国家级自然保护区</w:t>
      </w:r>
      <w:r>
        <w:rPr>
          <w:rFonts w:hint="eastAsia" w:ascii="Times New Roman" w:hAnsi="Times New Roman" w:eastAsia="仿宋_GB2312" w:cs="Times New Roman"/>
          <w:sz w:val="32"/>
          <w:szCs w:val="32"/>
        </w:rPr>
        <w:t>功能区划图》等相关核准</w:t>
      </w:r>
      <w:r>
        <w:rPr>
          <w:rFonts w:ascii="Times New Roman" w:hAnsi="Times New Roman" w:eastAsia="仿宋_GB2312" w:cs="Times New Roman"/>
          <w:sz w:val="32"/>
          <w:szCs w:val="32"/>
        </w:rPr>
        <w:t>文件为准</w:t>
      </w:r>
      <w:r>
        <w:rPr>
          <w:rFonts w:hint="eastAsia" w:ascii="Times New Roman" w:hAnsi="Times New Roman" w:eastAsia="仿宋_GB2312" w:cs="Times New Roman"/>
          <w:sz w:val="32"/>
          <w:szCs w:val="32"/>
        </w:rPr>
        <w:t>。</w:t>
      </w:r>
    </w:p>
    <w:p>
      <w:pPr>
        <w:numPr>
          <w:ilvl w:val="0"/>
          <w:numId w:val="9"/>
        </w:numPr>
        <w:spacing w:line="600" w:lineRule="exact"/>
        <w:ind w:left="0" w:firstLine="504" w:firstLineChars="157"/>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贵池老山省级自然保护区核心区</w:t>
      </w:r>
    </w:p>
    <w:p>
      <w:pPr>
        <w:spacing w:line="600" w:lineRule="exact"/>
        <w:ind w:firstLine="502" w:firstLineChars="157"/>
        <w:rPr>
          <w:rFonts w:ascii="Times New Roman" w:hAnsi="Times New Roman" w:eastAsia="仿宋_GB2312" w:cs="Times New Roman"/>
          <w:sz w:val="32"/>
          <w:szCs w:val="32"/>
        </w:rPr>
      </w:pPr>
      <w:r>
        <w:rPr>
          <w:rFonts w:ascii="Times New Roman" w:hAnsi="Times New Roman" w:eastAsia="仿宋_GB2312" w:cs="Times New Roman"/>
          <w:sz w:val="32"/>
          <w:szCs w:val="32"/>
        </w:rPr>
        <w:t>具体边界范围以</w:t>
      </w:r>
      <w:r>
        <w:rPr>
          <w:rFonts w:hint="eastAsia" w:ascii="Times New Roman" w:hAnsi="Times New Roman" w:eastAsia="仿宋_GB2312" w:cs="Times New Roman"/>
          <w:sz w:val="32"/>
          <w:szCs w:val="32"/>
        </w:rPr>
        <w:t>《安徽老山省级</w:t>
      </w:r>
      <w:r>
        <w:rPr>
          <w:rFonts w:ascii="Times New Roman" w:hAnsi="Times New Roman" w:eastAsia="仿宋_GB2312" w:cs="Times New Roman"/>
          <w:sz w:val="32"/>
          <w:szCs w:val="32"/>
        </w:rPr>
        <w:t>自然保护区</w:t>
      </w:r>
      <w:r>
        <w:rPr>
          <w:rFonts w:hint="eastAsia" w:ascii="Times New Roman" w:hAnsi="Times New Roman" w:eastAsia="仿宋_GB2312" w:cs="Times New Roman"/>
          <w:sz w:val="32"/>
          <w:szCs w:val="32"/>
        </w:rPr>
        <w:t>功能区划图》等相关核准</w:t>
      </w:r>
      <w:r>
        <w:rPr>
          <w:rFonts w:ascii="Times New Roman" w:hAnsi="Times New Roman" w:eastAsia="仿宋_GB2312" w:cs="Times New Roman"/>
          <w:sz w:val="32"/>
          <w:szCs w:val="32"/>
        </w:rPr>
        <w:t>文件为准</w:t>
      </w:r>
      <w:r>
        <w:rPr>
          <w:rFonts w:hint="eastAsia" w:ascii="Times New Roman" w:hAnsi="Times New Roman" w:eastAsia="仿宋_GB2312" w:cs="Times New Roman"/>
          <w:sz w:val="32"/>
          <w:szCs w:val="32"/>
        </w:rPr>
        <w:t>。</w:t>
      </w:r>
    </w:p>
    <w:p>
      <w:pPr>
        <w:numPr>
          <w:ilvl w:val="0"/>
          <w:numId w:val="9"/>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河道行洪区、堤防安全保护区、航道、港口、渡口</w:t>
      </w:r>
      <w:r>
        <w:rPr>
          <w:rFonts w:hint="eastAsia" w:ascii="Times New Roman" w:hAnsi="Times New Roman" w:eastAsia="仿宋_GB2312" w:cs="Times New Roman"/>
          <w:b/>
          <w:bCs/>
          <w:sz w:val="32"/>
          <w:szCs w:val="32"/>
        </w:rPr>
        <w:t>区域内水域滩涂</w:t>
      </w:r>
      <w:r>
        <w:rPr>
          <w:rFonts w:ascii="Times New Roman" w:hAnsi="Times New Roman" w:eastAsia="仿宋_GB2312" w:cs="Times New Roman"/>
          <w:b/>
          <w:bCs/>
          <w:sz w:val="32"/>
          <w:szCs w:val="32"/>
        </w:rPr>
        <w:t>（代码：1-2）</w:t>
      </w:r>
    </w:p>
    <w:p>
      <w:pPr>
        <w:spacing w:line="600" w:lineRule="exact"/>
        <w:ind w:firstLine="672" w:firstLineChars="21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全市开放型自然河流主河道及其支流行洪区、堤防安全保护区、航道、港口、渡口区域内水域滩涂。</w:t>
      </w:r>
    </w:p>
    <w:p>
      <w:pPr>
        <w:numPr>
          <w:ilvl w:val="0"/>
          <w:numId w:val="9"/>
        </w:numPr>
        <w:spacing w:line="600" w:lineRule="exact"/>
        <w:ind w:left="0"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有毒有害物质超过规定标准的水体</w:t>
      </w:r>
    </w:p>
    <w:p>
      <w:pPr>
        <w:numPr>
          <w:ilvl w:val="0"/>
          <w:numId w:val="9"/>
        </w:numPr>
        <w:spacing w:line="600" w:lineRule="exact"/>
        <w:ind w:left="0"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法律法规规定的其他禁止养殖区</w:t>
      </w:r>
    </w:p>
    <w:p>
      <w:pPr>
        <w:numPr>
          <w:ilvl w:val="0"/>
          <w:numId w:val="7"/>
        </w:numPr>
        <w:spacing w:line="600" w:lineRule="exact"/>
        <w:ind w:firstLine="63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管理措施</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w:t>
      </w:r>
      <w:r>
        <w:rPr>
          <w:rFonts w:hint="eastAsia" w:ascii="Times New Roman" w:hAnsi="Times New Roman" w:eastAsia="仿宋_GB2312" w:cs="Times New Roman"/>
          <w:sz w:val="32"/>
          <w:szCs w:val="32"/>
        </w:rPr>
        <w:t>开展水产</w:t>
      </w:r>
      <w:r>
        <w:rPr>
          <w:rFonts w:ascii="Times New Roman" w:hAnsi="Times New Roman" w:eastAsia="仿宋_GB2312" w:cs="Times New Roman"/>
          <w:sz w:val="32"/>
          <w:szCs w:val="32"/>
        </w:rPr>
        <w:t>养殖</w:t>
      </w:r>
      <w:r>
        <w:rPr>
          <w:rFonts w:hint="eastAsia" w:ascii="Times New Roman" w:hAnsi="Times New Roman" w:eastAsia="仿宋_GB2312" w:cs="Times New Roman"/>
          <w:sz w:val="32"/>
          <w:szCs w:val="32"/>
          <w:lang w:eastAsia="zh-CN"/>
        </w:rPr>
        <w:t>；</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禁止引入外来物种；</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实施</w:t>
      </w:r>
      <w:r>
        <w:rPr>
          <w:rFonts w:hint="eastAsia" w:ascii="Times New Roman" w:hAnsi="Times New Roman" w:eastAsia="仿宋_GB2312" w:cs="Times New Roman"/>
          <w:sz w:val="32"/>
          <w:szCs w:val="32"/>
        </w:rPr>
        <w:t>禁渔</w:t>
      </w:r>
      <w:r>
        <w:rPr>
          <w:rFonts w:ascii="Times New Roman" w:hAnsi="Times New Roman" w:eastAsia="仿宋_GB2312" w:cs="Times New Roman"/>
          <w:sz w:val="32"/>
          <w:szCs w:val="32"/>
        </w:rPr>
        <w:t>制度，禁止非法捕捞；</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已建养殖设施和捕捞网具应限期拆除</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禁止新建养殖池塘及大型永久渔业设施；</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禁止在</w:t>
      </w:r>
      <w:r>
        <w:rPr>
          <w:rFonts w:hint="eastAsia" w:ascii="Times New Roman" w:hAnsi="Times New Roman" w:eastAsia="仿宋_GB2312" w:cs="Times New Roman"/>
          <w:sz w:val="32"/>
          <w:szCs w:val="32"/>
        </w:rPr>
        <w:t>河道或</w:t>
      </w:r>
      <w:r>
        <w:rPr>
          <w:rFonts w:ascii="Times New Roman" w:hAnsi="Times New Roman" w:eastAsia="仿宋_GB2312" w:cs="Times New Roman"/>
          <w:sz w:val="32"/>
          <w:szCs w:val="32"/>
        </w:rPr>
        <w:t>航道内设置</w:t>
      </w:r>
      <w:r>
        <w:rPr>
          <w:rFonts w:hint="eastAsia" w:ascii="Times New Roman" w:hAnsi="Times New Roman" w:eastAsia="仿宋_GB2312" w:cs="Times New Roman"/>
          <w:sz w:val="32"/>
          <w:szCs w:val="32"/>
        </w:rPr>
        <w:t>固定</w:t>
      </w:r>
      <w:r>
        <w:rPr>
          <w:rFonts w:ascii="Times New Roman" w:hAnsi="Times New Roman" w:eastAsia="仿宋_GB2312" w:cs="Times New Roman"/>
          <w:sz w:val="32"/>
          <w:szCs w:val="32"/>
        </w:rPr>
        <w:t>渔具、水产养殖设施或种植水生作物，不得危害航道通航安全；</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禁止在渡口码头上下游各</w:t>
      </w:r>
      <w:r>
        <w:rPr>
          <w:rFonts w:hint="eastAsia" w:ascii="Times New Roman" w:hAnsi="Times New Roman" w:eastAsia="仿宋_GB2312" w:cs="Times New Roman"/>
          <w:sz w:val="32"/>
          <w:szCs w:val="32"/>
        </w:rPr>
        <w:t>50m</w:t>
      </w:r>
      <w:r>
        <w:rPr>
          <w:rFonts w:ascii="Times New Roman" w:hAnsi="Times New Roman" w:eastAsia="仿宋_GB2312" w:cs="Times New Roman"/>
          <w:sz w:val="32"/>
          <w:szCs w:val="32"/>
        </w:rPr>
        <w:t>范围内停泊船筏、捕捞、及其他影响渡运安全的渔事活动。</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w:t>
      </w:r>
      <w:r>
        <w:rPr>
          <w:rFonts w:hint="eastAsia" w:ascii="Times New Roman" w:hAnsi="Times New Roman" w:eastAsia="仿宋_GB2312" w:cs="Times New Roman"/>
          <w:sz w:val="32"/>
          <w:szCs w:val="32"/>
        </w:rPr>
        <w:t>湖泊</w:t>
      </w:r>
      <w:r>
        <w:rPr>
          <w:rFonts w:ascii="Times New Roman" w:hAnsi="Times New Roman" w:eastAsia="仿宋_GB2312" w:cs="Times New Roman"/>
          <w:sz w:val="32"/>
          <w:szCs w:val="32"/>
        </w:rPr>
        <w:t>等重点天然水域实施渔业资源环境动态监测，监测水生生物资源环境状况及变动趋势，适时建立渔业资源环境基础信息数据库；</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按现行技术管理规范在</w:t>
      </w:r>
      <w:r>
        <w:rPr>
          <w:rFonts w:hint="eastAsia" w:ascii="Times New Roman" w:hAnsi="Times New Roman" w:eastAsia="仿宋_GB2312" w:cs="Times New Roman"/>
          <w:sz w:val="32"/>
          <w:szCs w:val="32"/>
        </w:rPr>
        <w:t>重点</w:t>
      </w:r>
      <w:r>
        <w:rPr>
          <w:rFonts w:ascii="Times New Roman" w:hAnsi="Times New Roman" w:eastAsia="仿宋_GB2312" w:cs="Times New Roman"/>
          <w:sz w:val="32"/>
          <w:szCs w:val="32"/>
        </w:rPr>
        <w:t>湖泊天然水域实施增殖放流，恢复土著鱼类</w:t>
      </w:r>
      <w:r>
        <w:rPr>
          <w:rFonts w:hint="eastAsia" w:ascii="Times New Roman" w:hAnsi="Times New Roman" w:eastAsia="仿宋_GB2312" w:cs="Times New Roman"/>
          <w:sz w:val="32"/>
          <w:szCs w:val="32"/>
        </w:rPr>
        <w:t>等水生生物</w:t>
      </w:r>
      <w:r>
        <w:rPr>
          <w:rFonts w:ascii="Times New Roman" w:hAnsi="Times New Roman" w:eastAsia="仿宋_GB2312" w:cs="Times New Roman"/>
          <w:sz w:val="32"/>
          <w:szCs w:val="32"/>
        </w:rPr>
        <w:t>资源，提高水生生物多样性和水生态系统稳定性；</w:t>
      </w:r>
    </w:p>
    <w:p>
      <w:pPr>
        <w:numPr>
          <w:ilvl w:val="0"/>
          <w:numId w:val="10"/>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加强公共自然水域渔政监管，提高渔政管理信息化、自动化水平，保护两栖类、鸟类、水生植物等野生水生动植物种质资源及其栖息地。</w:t>
      </w:r>
    </w:p>
    <w:p>
      <w:pPr>
        <w:pStyle w:val="3"/>
        <w:ind w:firstLine="643"/>
        <w:rPr>
          <w:rFonts w:ascii="Times New Roman" w:hAnsi="Times New Roman" w:cs="Times New Roman"/>
        </w:rPr>
      </w:pPr>
      <w:bookmarkStart w:id="48" w:name="_Toc10339"/>
      <w:r>
        <w:rPr>
          <w:rFonts w:ascii="Times New Roman" w:hAnsi="Times New Roman" w:cs="Times New Roman"/>
        </w:rPr>
        <w:t>限制养殖区</w:t>
      </w:r>
      <w:bookmarkEnd w:id="48"/>
    </w:p>
    <w:p>
      <w:pPr>
        <w:numPr>
          <w:ilvl w:val="0"/>
          <w:numId w:val="11"/>
        </w:numPr>
        <w:spacing w:line="600" w:lineRule="exact"/>
        <w:ind w:firstLine="56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类型</w:t>
      </w:r>
    </w:p>
    <w:p>
      <w:pPr>
        <w:numPr>
          <w:ilvl w:val="0"/>
          <w:numId w:val="12"/>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饮用水源二级保护区（代码：2-1）；</w:t>
      </w:r>
    </w:p>
    <w:p>
      <w:pPr>
        <w:numPr>
          <w:ilvl w:val="0"/>
          <w:numId w:val="12"/>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生态</w:t>
      </w:r>
      <w:r>
        <w:rPr>
          <w:rFonts w:hint="eastAsia" w:ascii="Times New Roman" w:hAnsi="Times New Roman" w:eastAsia="仿宋" w:cs="Times New Roman"/>
          <w:sz w:val="32"/>
          <w:szCs w:val="32"/>
        </w:rPr>
        <w:t>空间范围</w:t>
      </w:r>
      <w:r>
        <w:rPr>
          <w:rFonts w:ascii="Times New Roman" w:hAnsi="Times New Roman" w:eastAsia="仿宋" w:cs="Times New Roman"/>
          <w:sz w:val="32"/>
          <w:szCs w:val="32"/>
        </w:rPr>
        <w:t>水域滩涂（代码：2-1）；</w:t>
      </w:r>
    </w:p>
    <w:p>
      <w:pPr>
        <w:numPr>
          <w:ilvl w:val="0"/>
          <w:numId w:val="12"/>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城镇空间</w:t>
      </w:r>
      <w:r>
        <w:rPr>
          <w:rFonts w:hint="eastAsia" w:ascii="Times New Roman" w:hAnsi="Times New Roman" w:eastAsia="仿宋" w:cs="Times New Roman"/>
          <w:sz w:val="32"/>
          <w:szCs w:val="32"/>
        </w:rPr>
        <w:t>范围内</w:t>
      </w:r>
      <w:r>
        <w:rPr>
          <w:rFonts w:ascii="Times New Roman" w:hAnsi="Times New Roman" w:eastAsia="仿宋" w:cs="Times New Roman"/>
          <w:sz w:val="32"/>
          <w:szCs w:val="32"/>
        </w:rPr>
        <w:t>水域滩涂（代码：2-1）；</w:t>
      </w:r>
    </w:p>
    <w:p>
      <w:pPr>
        <w:numPr>
          <w:ilvl w:val="0"/>
          <w:numId w:val="12"/>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_GB2312" w:cs="Times New Roman"/>
          <w:sz w:val="32"/>
          <w:szCs w:val="32"/>
        </w:rPr>
        <w:t>风景区</w:t>
      </w:r>
      <w:r>
        <w:rPr>
          <w:rFonts w:ascii="Times New Roman" w:hAnsi="Times New Roman" w:eastAsia="仿宋" w:cs="Times New Roman"/>
          <w:sz w:val="32"/>
          <w:szCs w:val="32"/>
        </w:rPr>
        <w:t>（代码：2-1）</w:t>
      </w:r>
      <w:r>
        <w:rPr>
          <w:rFonts w:hint="eastAsia" w:ascii="Times New Roman" w:hAnsi="Times New Roman" w:eastAsia="仿宋_GB2312" w:cs="Times New Roman"/>
          <w:sz w:val="32"/>
          <w:szCs w:val="32"/>
        </w:rPr>
        <w:t>；</w:t>
      </w:r>
    </w:p>
    <w:p>
      <w:pPr>
        <w:numPr>
          <w:ilvl w:val="0"/>
          <w:numId w:val="12"/>
        </w:numPr>
        <w:spacing w:line="600" w:lineRule="exact"/>
        <w:ind w:left="0" w:firstLine="640" w:firstLineChars="200"/>
        <w:rPr>
          <w:rFonts w:ascii="Times New Roman" w:hAnsi="Times New Roman" w:eastAsia="仿宋" w:cs="Times New Roman"/>
          <w:sz w:val="32"/>
          <w:szCs w:val="32"/>
        </w:rPr>
      </w:pPr>
      <w:r>
        <w:rPr>
          <w:rFonts w:hint="eastAsia" w:ascii="Times New Roman" w:hAnsi="Times New Roman" w:eastAsia="仿宋_GB2312" w:cs="Times New Roman"/>
          <w:sz w:val="32"/>
          <w:szCs w:val="32"/>
        </w:rPr>
        <w:t>省级以上</w:t>
      </w:r>
      <w:r>
        <w:rPr>
          <w:rFonts w:ascii="Times New Roman" w:hAnsi="Times New Roman" w:eastAsia="仿宋_GB2312" w:cs="Times New Roman"/>
          <w:sz w:val="32"/>
          <w:szCs w:val="32"/>
        </w:rPr>
        <w:t>湿地公园</w:t>
      </w:r>
      <w:r>
        <w:rPr>
          <w:rFonts w:ascii="Times New Roman" w:hAnsi="Times New Roman" w:eastAsia="仿宋" w:cs="Times New Roman"/>
          <w:sz w:val="32"/>
          <w:szCs w:val="32"/>
        </w:rPr>
        <w:t>（代码：2-1）</w:t>
      </w:r>
    </w:p>
    <w:p>
      <w:pPr>
        <w:numPr>
          <w:ilvl w:val="0"/>
          <w:numId w:val="12"/>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重点湖泊水库（代码：2-2）</w:t>
      </w:r>
    </w:p>
    <w:p>
      <w:pPr>
        <w:numPr>
          <w:ilvl w:val="0"/>
          <w:numId w:val="11"/>
        </w:numPr>
        <w:spacing w:line="600" w:lineRule="exact"/>
        <w:ind w:firstLine="644"/>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范围</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全市集中式饮用水水源地（含备用水源）二级保护区</w:t>
      </w:r>
    </w:p>
    <w:p>
      <w:pPr>
        <w:spacing w:line="600" w:lineRule="exact"/>
        <w:ind w:firstLine="627" w:firstLineChars="196"/>
        <w:rPr>
          <w:rFonts w:ascii="Times New Roman" w:hAnsi="Times New Roman" w:eastAsia="仿宋_GB2312" w:cs="Times New Roman"/>
          <w:sz w:val="32"/>
          <w:szCs w:val="32"/>
        </w:rPr>
      </w:pPr>
      <w:r>
        <w:rPr>
          <w:rFonts w:ascii="Times New Roman" w:hAnsi="Times New Roman" w:eastAsia="仿宋_GB2312" w:cs="Times New Roman"/>
          <w:sz w:val="32"/>
          <w:szCs w:val="32"/>
        </w:rPr>
        <w:t>全市集中式饮用水水源地（含备用水源）</w:t>
      </w:r>
      <w:r>
        <w:rPr>
          <w:rFonts w:hint="eastAsia" w:ascii="Times New Roman" w:hAnsi="Times New Roman" w:eastAsia="仿宋_GB2312" w:cs="Times New Roman"/>
          <w:sz w:val="32"/>
          <w:szCs w:val="32"/>
        </w:rPr>
        <w:t>二</w:t>
      </w:r>
      <w:r>
        <w:rPr>
          <w:rFonts w:ascii="Times New Roman" w:hAnsi="Times New Roman" w:eastAsia="仿宋_GB2312" w:cs="Times New Roman"/>
          <w:sz w:val="32"/>
          <w:szCs w:val="32"/>
        </w:rPr>
        <w:t>级保护区依相应核准文件，无核准文件的参照《饮用水水源保护区划分技术规范(HJ-T338-2007)》划设标准：</w:t>
      </w:r>
    </w:p>
    <w:p>
      <w:pPr>
        <w:spacing w:line="600" w:lineRule="exact"/>
        <w:ind w:firstLine="627" w:firstLineChars="196"/>
        <w:rPr>
          <w:rFonts w:ascii="Times New Roman" w:hAnsi="Times New Roman" w:eastAsia="仿宋_GB2312" w:cs="Times New Roman"/>
          <w:sz w:val="32"/>
          <w:szCs w:val="32"/>
        </w:rPr>
      </w:pPr>
      <w:r>
        <w:rPr>
          <w:rFonts w:ascii="Times New Roman" w:hAnsi="Times New Roman" w:eastAsia="仿宋_GB2312" w:cs="Times New Roman"/>
          <w:sz w:val="32"/>
          <w:szCs w:val="32"/>
        </w:rPr>
        <w:t>一般河流水源地，二级保护区长度从一级保护区的上游边界向上游（包括汇入的上游支流）</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 xml:space="preserve">延伸不得小于 2000 </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 xml:space="preserve">，下游侧外边界距一级保护区边界不得小于 200 </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 xml:space="preserve">。小型湖泊、中小型水库为取水口侧正常水位线以上 200 </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范围内的陆域，或一定高程线以下的陆域，但不超过流域分水岭范围</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 xml:space="preserve">大型水库为取水口侧正常水位线以上 200 </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范围内的陆域</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 xml:space="preserve">大中型湖泊为取水口侧正常水位线以上 200 </w:t>
      </w:r>
      <w:r>
        <w:rPr>
          <w:rFonts w:hint="eastAsia" w:ascii="Times New Roman" w:hAnsi="Times New Roman" w:eastAsia="仿宋_GB2312" w:cs="Times New Roman"/>
          <w:sz w:val="32"/>
          <w:szCs w:val="32"/>
        </w:rPr>
        <w:t>m</w:t>
      </w:r>
      <w:r>
        <w:rPr>
          <w:rFonts w:ascii="Times New Roman" w:hAnsi="Times New Roman" w:eastAsia="仿宋_GB2312" w:cs="Times New Roman"/>
          <w:sz w:val="32"/>
          <w:szCs w:val="32"/>
        </w:rPr>
        <w:t>范围内的陆域</w:t>
      </w:r>
      <w:r>
        <w:rPr>
          <w:rFonts w:hint="eastAsia" w:ascii="Times New Roman" w:hAnsi="Times New Roman" w:eastAsia="仿宋_GB2312" w:cs="Times New Roman"/>
          <w:sz w:val="32"/>
          <w:szCs w:val="32"/>
        </w:rPr>
        <w:t>。具体范围以各饮用水源核准文件为准</w:t>
      </w:r>
    </w:p>
    <w:p>
      <w:pPr>
        <w:numPr>
          <w:ilvl w:val="0"/>
          <w:numId w:val="13"/>
        </w:numPr>
        <w:spacing w:line="600" w:lineRule="exact"/>
        <w:ind w:left="0" w:firstLine="630" w:firstLineChars="196"/>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升金湖国家级自然保护区实验区</w:t>
      </w:r>
    </w:p>
    <w:p>
      <w:pPr>
        <w:spacing w:line="600" w:lineRule="exact"/>
        <w:ind w:firstLine="627" w:firstLineChars="196"/>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保护区</w:t>
      </w:r>
      <w:r>
        <w:rPr>
          <w:rFonts w:ascii="Times New Roman" w:hAnsi="Times New Roman" w:eastAsia="仿宋_GB2312" w:cs="Times New Roman"/>
          <w:sz w:val="32"/>
          <w:szCs w:val="32"/>
        </w:rPr>
        <w:t>地处东经116°55′至117°15′，北纬30°15′至30°30′。座落于东至县与贵池区交界处，全境以升金湖为中心，沿岸分别向外延伸2.5km左右。其四邻界线为，东自高桥湖东岸经唐田、坦埠、刘村、白笏、杨家咀连线为界，南至丁村、长岭，西至206国道，北自将军庙经新河口至牛头山一线。保护区除去核心区、缓冲区以外的地区均属实验区，即保护区境内沿湖四周的陆地部分，面积为12890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，占保护区总面积的38.7%。</w:t>
      </w:r>
    </w:p>
    <w:p>
      <w:pPr>
        <w:numPr>
          <w:ilvl w:val="0"/>
          <w:numId w:val="13"/>
        </w:numPr>
        <w:spacing w:line="600" w:lineRule="exact"/>
        <w:ind w:left="0" w:firstLine="630" w:firstLineChars="196"/>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十八索省级自然保护区实验区</w:t>
      </w:r>
    </w:p>
    <w:p>
      <w:pPr>
        <w:spacing w:line="600" w:lineRule="exact"/>
        <w:ind w:firstLine="627" w:firstLineChars="196"/>
        <w:rPr>
          <w:rFonts w:ascii="Times New Roman" w:hAnsi="Times New Roman" w:eastAsia="仿宋_GB2312" w:cs="Times New Roman"/>
          <w:sz w:val="32"/>
          <w:szCs w:val="32"/>
        </w:rPr>
      </w:pPr>
      <w:r>
        <w:rPr>
          <w:rFonts w:ascii="Times New Roman" w:hAnsi="Times New Roman" w:eastAsia="仿宋_GB2312" w:cs="Times New Roman"/>
          <w:sz w:val="32"/>
          <w:szCs w:val="32"/>
        </w:rPr>
        <w:t>在保护区内除去核心区与缓冲区即为实验区，其总面积为1965.6hm2占保护区总面积53.8％。实验区主要为东西两片：</w:t>
      </w:r>
    </w:p>
    <w:p>
      <w:pPr>
        <w:spacing w:line="600" w:lineRule="exact"/>
        <w:ind w:firstLine="627" w:firstLineChars="196"/>
        <w:rPr>
          <w:rFonts w:ascii="Times New Roman" w:hAnsi="Times New Roman" w:eastAsia="仿宋_GB2312" w:cs="Times New Roman"/>
          <w:sz w:val="32"/>
          <w:szCs w:val="32"/>
        </w:rPr>
      </w:pPr>
      <w:r>
        <w:rPr>
          <w:rFonts w:ascii="Times New Roman" w:hAnsi="Times New Roman" w:eastAsia="仿宋_GB2312" w:cs="Times New Roman"/>
          <w:sz w:val="32"/>
          <w:szCs w:val="32"/>
        </w:rPr>
        <w:t>西片分布于十八索湖、双丰圩西侧的桐梓山、双湖村、双丰村范围内 ，地貌为丘岗地。东片分布于庆丰圩、跃进圩、扁担洲、汀洲村及双丰圩以南的洪家堰一带，其中有丘岗地、水稻田湿地和湖面。</w:t>
      </w:r>
    </w:p>
    <w:p>
      <w:pPr>
        <w:numPr>
          <w:ilvl w:val="0"/>
          <w:numId w:val="13"/>
        </w:numPr>
        <w:spacing w:line="600" w:lineRule="exact"/>
        <w:ind w:left="0" w:firstLine="630" w:firstLineChars="196"/>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贵池老山省级自然保护区实验区</w:t>
      </w:r>
    </w:p>
    <w:p>
      <w:pPr>
        <w:spacing w:line="600" w:lineRule="exact"/>
        <w:ind w:firstLine="627" w:firstLineChars="196"/>
        <w:rPr>
          <w:rFonts w:ascii="Times New Roman" w:hAnsi="Times New Roman" w:eastAsia="仿宋_GB2312" w:cs="Times New Roman"/>
          <w:sz w:val="32"/>
          <w:szCs w:val="32"/>
        </w:rPr>
      </w:pPr>
      <w:r>
        <w:rPr>
          <w:rFonts w:ascii="Times New Roman" w:hAnsi="Times New Roman" w:eastAsia="仿宋_GB2312" w:cs="Times New Roman"/>
          <w:sz w:val="32"/>
          <w:szCs w:val="32"/>
        </w:rPr>
        <w:t>具体边界范围以《安徽</w:t>
      </w:r>
      <w:r>
        <w:rPr>
          <w:rFonts w:hint="eastAsia" w:ascii="Times New Roman" w:hAnsi="Times New Roman" w:eastAsia="仿宋_GB2312" w:cs="Times New Roman"/>
          <w:sz w:val="32"/>
          <w:szCs w:val="32"/>
        </w:rPr>
        <w:t>贵池老山省级自然保护区功能区划图</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等相关核准文件</w:t>
      </w:r>
      <w:r>
        <w:rPr>
          <w:rFonts w:ascii="Times New Roman" w:hAnsi="Times New Roman" w:eastAsia="仿宋_GB2312" w:cs="Times New Roman"/>
          <w:sz w:val="32"/>
          <w:szCs w:val="32"/>
        </w:rPr>
        <w:t>为准。</w:t>
      </w:r>
    </w:p>
    <w:p>
      <w:pPr>
        <w:numPr>
          <w:ilvl w:val="0"/>
          <w:numId w:val="13"/>
        </w:numPr>
        <w:spacing w:line="600" w:lineRule="exact"/>
        <w:ind w:left="0" w:firstLine="630" w:firstLineChars="196"/>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秋浦河特有鱼类国家级水产种质资源保护区实验区</w:t>
      </w:r>
    </w:p>
    <w:p>
      <w:pPr>
        <w:spacing w:line="600" w:lineRule="exact"/>
        <w:ind w:firstLine="627" w:firstLineChars="196"/>
        <w:rPr>
          <w:rFonts w:ascii="Times New Roman" w:hAnsi="Times New Roman" w:eastAsia="仿宋_GB2312" w:cs="Times New Roman"/>
          <w:sz w:val="32"/>
          <w:szCs w:val="32"/>
        </w:rPr>
      </w:pPr>
      <w:r>
        <w:rPr>
          <w:rFonts w:ascii="Times New Roman" w:hAnsi="Times New Roman" w:eastAsia="仿宋_GB2312" w:cs="Times New Roman"/>
          <w:sz w:val="32"/>
          <w:szCs w:val="32"/>
        </w:rPr>
        <w:t>分南北2个区段：南实验区长6.5km，由普丰圩（E 117°20′21.3"，N 30°31′27.7"）、殷汇大桥东（E 117°21′10.9"，N 30°28′39.7"）、殷汇大桥西（E 117°21′1.2", N 30°28′33.6"）、肖家滩人渡（E 117°18′54", N 30°30′33.9"）、下贵滩对岸（E 117°18′26.9", N 30°31′27.5"）等5个拐点沿河道方向顺次连线所围的水域构成；北实验区长18.8 km，由池口东（E 117°27′48.9〞，N 30°40′47.9〞）、人渡（E 117°27′15.7"，N 30°39′55.5"）、砖瓦厂（E 117°26′42.2"，N 30°38′53.7"）、天生湖大堤北（E 117°21′38.6"，N 30°34′34.06"）、西埂人渡（E 117°21′38.1", N 30°35′19.6"）、车渡口（E 117°26′16.9", N 30°36′23.2"）、池口西（E 117°27′15", N 30°40′46.8"）等 7个拐点沿河道方向顺次连线所围的水域构成</w:t>
      </w:r>
      <w:r>
        <w:rPr>
          <w:rFonts w:hint="eastAsia" w:ascii="Times New Roman" w:hAnsi="Times New Roman" w:eastAsia="仿宋_GB2312" w:cs="Times New Roman"/>
          <w:sz w:val="32"/>
          <w:szCs w:val="32"/>
        </w:rPr>
        <w:t>。</w:t>
      </w:r>
    </w:p>
    <w:p>
      <w:pPr>
        <w:numPr>
          <w:ilvl w:val="0"/>
          <w:numId w:val="13"/>
        </w:numPr>
        <w:spacing w:line="600" w:lineRule="exact"/>
        <w:ind w:left="0" w:firstLine="630" w:firstLineChars="196"/>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黄湓河鰕虎鱼、青虾国家级水产种质资源保护区实验区</w:t>
      </w:r>
    </w:p>
    <w:p>
      <w:pPr>
        <w:spacing w:line="600" w:lineRule="exact"/>
        <w:ind w:firstLine="627" w:firstLineChars="196"/>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张溪镇东湖村高湖圩苦菱沟至张溪镇联盟村杨峨头，跨地理坐标为：东经117°00′44.7″—117°01′03.3″，北纬30°20′42.4″--30°16′44.3″之间，全长11.8公里，面积145.6hm2。具体坐标为：117°01′03.3″E，30°16′44.3″N（苦菱沟）—117°01′28.8″E，30°17′26.9″N（复兴圩）—117°00′53.1″E，30°18′04.8″N（张家墩）—117°01′47.7″E，30°18′38.7″N（舌甘）—117°00′52.2″E，30°19′47.5″N（白联圩拐）—117°01′52.5″E，30°20′17.6″N（联盟圩）—117°00′44.7″E，30°20′42.4″N（杨峨头）等7个拐点沿河道方向顺次连线所围的水域。</w:t>
      </w:r>
    </w:p>
    <w:p>
      <w:pPr>
        <w:numPr>
          <w:ilvl w:val="0"/>
          <w:numId w:val="13"/>
        </w:numPr>
        <w:spacing w:line="600" w:lineRule="exact"/>
        <w:ind w:left="0" w:firstLine="630" w:firstLineChars="196"/>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平天湖国家湿地公园</w:t>
      </w:r>
    </w:p>
    <w:p>
      <w:pPr>
        <w:spacing w:line="600" w:lineRule="exact"/>
        <w:ind w:firstLine="672" w:firstLineChars="210"/>
        <w:rPr>
          <w:rFonts w:ascii="Times New Roman" w:hAnsi="Times New Roman" w:eastAsia="仿宋_GB2312" w:cs="Times New Roman"/>
          <w:sz w:val="32"/>
          <w:szCs w:val="32"/>
        </w:rPr>
      </w:pPr>
      <w:r>
        <w:rPr>
          <w:rFonts w:ascii="Times New Roman" w:hAnsi="Times New Roman" w:eastAsia="仿宋_GB2312" w:cs="Times New Roman"/>
          <w:sz w:val="32"/>
          <w:szCs w:val="32"/>
        </w:rPr>
        <w:t>具体边界范围以《安徽</w:t>
      </w:r>
      <w:r>
        <w:rPr>
          <w:rFonts w:hint="eastAsia" w:ascii="Times New Roman" w:hAnsi="Times New Roman" w:eastAsia="仿宋_GB2312" w:cs="Times New Roman"/>
          <w:sz w:val="32"/>
          <w:szCs w:val="32"/>
        </w:rPr>
        <w:t>平天湖</w:t>
      </w:r>
      <w:r>
        <w:rPr>
          <w:rFonts w:ascii="Times New Roman" w:hAnsi="Times New Roman" w:eastAsia="仿宋_GB2312" w:cs="Times New Roman"/>
          <w:sz w:val="32"/>
          <w:szCs w:val="32"/>
        </w:rPr>
        <w:t>国家湿地公园总体规划》为准。</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贵池杏花村省级湿地公园</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具体边界范围以《安徽</w:t>
      </w:r>
      <w:r>
        <w:rPr>
          <w:rFonts w:hint="eastAsia" w:ascii="Times New Roman" w:hAnsi="Times New Roman" w:eastAsia="仿宋_GB2312" w:cs="Times New Roman"/>
          <w:sz w:val="32"/>
          <w:szCs w:val="32"/>
        </w:rPr>
        <w:t>贵池杏花村省级</w:t>
      </w:r>
      <w:r>
        <w:rPr>
          <w:rFonts w:ascii="Times New Roman" w:hAnsi="Times New Roman" w:eastAsia="仿宋_GB2312" w:cs="Times New Roman"/>
          <w:sz w:val="32"/>
          <w:szCs w:val="32"/>
        </w:rPr>
        <w:t>湿地公园总体规划》为准。</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全市生态红线区域内水域滩涂</w:t>
      </w:r>
    </w:p>
    <w:p>
      <w:pPr>
        <w:spacing w:line="600" w:lineRule="exact"/>
        <w:ind w:firstLine="566" w:firstLineChars="177"/>
        <w:rPr>
          <w:rFonts w:ascii="Times New Roman" w:hAnsi="Times New Roman" w:eastAsia="仿宋_GB2312" w:cs="Times New Roman"/>
          <w:sz w:val="32"/>
          <w:szCs w:val="32"/>
        </w:rPr>
      </w:pPr>
      <w:r>
        <w:rPr>
          <w:rFonts w:ascii="Times New Roman" w:hAnsi="Times New Roman" w:eastAsia="仿宋_GB2312" w:cs="Times New Roman"/>
          <w:sz w:val="32"/>
          <w:szCs w:val="32"/>
        </w:rPr>
        <w:t>以</w:t>
      </w:r>
      <w:r>
        <w:rPr>
          <w:rFonts w:hint="eastAsia" w:ascii="Times New Roman" w:hAnsi="Times New Roman" w:eastAsia="仿宋_GB2312" w:cs="Times New Roman"/>
          <w:sz w:val="32"/>
          <w:szCs w:val="32"/>
        </w:rPr>
        <w:t>《池州市生态红线分布图》等相关核准文件为准。</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城镇空间区域内现有水域</w:t>
      </w:r>
    </w:p>
    <w:p>
      <w:pPr>
        <w:spacing w:line="600" w:lineRule="exact"/>
        <w:ind w:firstLine="640" w:firstLineChars="200"/>
        <w:rPr>
          <w:rFonts w:ascii="Times New Roman" w:hAnsi="Times New Roman" w:eastAsia="仿宋_GB2312" w:cs="Times New Roman"/>
          <w:sz w:val="32"/>
          <w:szCs w:val="32"/>
        </w:rPr>
      </w:pPr>
      <w:r>
        <w:rPr>
          <w:rFonts w:hint="eastAsia" w:ascii="Times New Roman" w:hAnsi="Times New Roman" w:eastAsia="仿宋" w:cs="Times New Roman"/>
          <w:sz w:val="32"/>
          <w:szCs w:val="32"/>
        </w:rPr>
        <w:t>县（区）、</w:t>
      </w:r>
      <w:r>
        <w:rPr>
          <w:rFonts w:ascii="Times New Roman" w:hAnsi="Times New Roman" w:eastAsia="仿宋" w:cs="Times New Roman"/>
          <w:sz w:val="32"/>
          <w:szCs w:val="32"/>
        </w:rPr>
        <w:t>市</w:t>
      </w:r>
      <w:r>
        <w:rPr>
          <w:rFonts w:hint="eastAsia" w:ascii="Times New Roman" w:hAnsi="Times New Roman" w:eastAsia="仿宋" w:cs="Times New Roman"/>
          <w:sz w:val="32"/>
          <w:szCs w:val="32"/>
        </w:rPr>
        <w:t>级</w:t>
      </w:r>
      <w:r>
        <w:rPr>
          <w:rFonts w:ascii="Times New Roman" w:hAnsi="Times New Roman" w:eastAsia="仿宋" w:cs="Times New Roman"/>
          <w:sz w:val="32"/>
          <w:szCs w:val="32"/>
        </w:rPr>
        <w:t>城市规划空间范围内水域，具体范围以《</w:t>
      </w:r>
      <w:r>
        <w:rPr>
          <w:rFonts w:hint="eastAsia" w:ascii="Times New Roman" w:hAnsi="Times New Roman" w:eastAsia="仿宋" w:cs="Times New Roman"/>
          <w:sz w:val="32"/>
          <w:szCs w:val="32"/>
        </w:rPr>
        <w:t>池州市</w:t>
      </w:r>
      <w:r>
        <w:rPr>
          <w:rFonts w:hint="eastAsia" w:ascii="Times New Roman" w:hAnsi="Times New Roman" w:eastAsia="仿宋" w:cs="Times New Roman"/>
          <w:sz w:val="32"/>
          <w:szCs w:val="32"/>
          <w:lang w:eastAsia="zh-CN"/>
        </w:rPr>
        <w:t>国土</w:t>
      </w:r>
      <w:r>
        <w:rPr>
          <w:rFonts w:ascii="Times New Roman" w:hAnsi="Times New Roman" w:eastAsia="仿宋" w:cs="Times New Roman"/>
          <w:sz w:val="32"/>
          <w:szCs w:val="32"/>
        </w:rPr>
        <w:t>空间</w:t>
      </w:r>
      <w:r>
        <w:rPr>
          <w:rFonts w:hint="eastAsia" w:ascii="Times New Roman" w:hAnsi="Times New Roman" w:eastAsia="仿宋" w:cs="Times New Roman"/>
          <w:sz w:val="32"/>
          <w:szCs w:val="32"/>
          <w:lang w:eastAsia="zh-CN"/>
        </w:rPr>
        <w:t>总体</w:t>
      </w:r>
      <w:r>
        <w:rPr>
          <w:rFonts w:ascii="Times New Roman" w:hAnsi="Times New Roman" w:eastAsia="仿宋" w:cs="Times New Roman"/>
          <w:sz w:val="32"/>
          <w:szCs w:val="32"/>
        </w:rPr>
        <w:t>规划（20</w:t>
      </w:r>
      <w:r>
        <w:rPr>
          <w:rFonts w:hint="eastAsia" w:ascii="Times New Roman" w:hAnsi="Times New Roman" w:eastAsia="仿宋" w:cs="Times New Roman"/>
          <w:sz w:val="32"/>
          <w:szCs w:val="32"/>
          <w:lang w:val="en-US" w:eastAsia="zh-CN"/>
        </w:rPr>
        <w:t>20</w:t>
      </w:r>
      <w:r>
        <w:rPr>
          <w:rFonts w:ascii="Times New Roman" w:hAnsi="Times New Roman" w:eastAsia="仿宋" w:cs="Times New Roman"/>
          <w:sz w:val="32"/>
          <w:szCs w:val="32"/>
        </w:rPr>
        <w:t>-203</w:t>
      </w:r>
      <w:r>
        <w:rPr>
          <w:rFonts w:hint="eastAsia" w:ascii="Times New Roman" w:hAnsi="Times New Roman" w:eastAsia="仿宋" w:cs="Times New Roman"/>
          <w:sz w:val="32"/>
          <w:szCs w:val="32"/>
          <w:lang w:val="en-US" w:eastAsia="zh-CN"/>
        </w:rPr>
        <w:t>5</w:t>
      </w:r>
      <w:r>
        <w:rPr>
          <w:rFonts w:ascii="Times New Roman" w:hAnsi="Times New Roman" w:eastAsia="仿宋" w:cs="Times New Roman"/>
          <w:sz w:val="32"/>
          <w:szCs w:val="32"/>
        </w:rPr>
        <w:t xml:space="preserve"> 年）》</w:t>
      </w:r>
      <w:r>
        <w:rPr>
          <w:rFonts w:hint="eastAsia" w:ascii="Times New Roman" w:hAnsi="Times New Roman" w:eastAsia="仿宋" w:cs="Times New Roman"/>
          <w:sz w:val="32"/>
          <w:szCs w:val="32"/>
        </w:rPr>
        <w:t>及各县区城市空间规划</w:t>
      </w:r>
      <w:r>
        <w:rPr>
          <w:rFonts w:ascii="Times New Roman" w:hAnsi="Times New Roman" w:eastAsia="仿宋" w:cs="Times New Roman"/>
          <w:sz w:val="32"/>
          <w:szCs w:val="32"/>
        </w:rPr>
        <w:t>所确定的范围为准</w:t>
      </w:r>
      <w:r>
        <w:rPr>
          <w:rFonts w:hint="eastAsia" w:ascii="Times New Roman" w:hAnsi="Times New Roman" w:eastAsia="仿宋_GB2312" w:cs="Times New Roman"/>
          <w:sz w:val="32"/>
          <w:szCs w:val="32"/>
        </w:rPr>
        <w:t>。</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全市风景名胜区范围内水域滩涂</w:t>
      </w:r>
    </w:p>
    <w:p>
      <w:pPr>
        <w:spacing w:line="600" w:lineRule="exact"/>
        <w:ind w:firstLine="566" w:firstLineChars="177"/>
        <w:rPr>
          <w:rFonts w:ascii="Times New Roman" w:hAnsi="Times New Roman" w:eastAsia="仿宋_GB2312" w:cs="Times New Roman"/>
          <w:sz w:val="32"/>
          <w:szCs w:val="32"/>
        </w:rPr>
      </w:pPr>
      <w:r>
        <w:rPr>
          <w:rFonts w:ascii="Times New Roman" w:hAnsi="Times New Roman" w:eastAsia="仿宋_GB2312" w:cs="Times New Roman"/>
          <w:sz w:val="32"/>
          <w:szCs w:val="32"/>
        </w:rPr>
        <w:t>具体范围以《池州全域旅游发展规划(</w:t>
      </w:r>
      <w:r>
        <w:rPr>
          <w:rFonts w:hint="eastAsia" w:ascii="Times New Roman" w:hAnsi="Times New Roman" w:eastAsia="仿宋_GB2312" w:cs="Times New Roman"/>
          <w:sz w:val="32"/>
          <w:szCs w:val="32"/>
        </w:rPr>
        <w:t>2016-2025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等相关核准文件为准。</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全</w:t>
      </w:r>
      <w:r>
        <w:rPr>
          <w:rFonts w:hint="eastAsia" w:ascii="Times New Roman" w:hAnsi="Times New Roman" w:eastAsia="仿宋_GB2312" w:cs="Times New Roman"/>
          <w:b/>
          <w:bCs/>
          <w:sz w:val="32"/>
          <w:szCs w:val="32"/>
        </w:rPr>
        <w:t>市</w:t>
      </w:r>
      <w:r>
        <w:rPr>
          <w:rFonts w:ascii="Times New Roman" w:hAnsi="Times New Roman" w:eastAsia="仿宋_GB2312" w:cs="Times New Roman"/>
          <w:b/>
          <w:bCs/>
          <w:sz w:val="32"/>
          <w:szCs w:val="32"/>
        </w:rPr>
        <w:t>天然湖泊</w:t>
      </w:r>
      <w:r>
        <w:rPr>
          <w:rFonts w:hint="eastAsia" w:ascii="Times New Roman" w:hAnsi="Times New Roman" w:eastAsia="仿宋_GB2312" w:cs="Times New Roman"/>
          <w:b/>
          <w:bCs/>
          <w:sz w:val="32"/>
          <w:szCs w:val="32"/>
        </w:rPr>
        <w:t>(</w:t>
      </w:r>
      <w:r>
        <w:rPr>
          <w:rFonts w:ascii="Times New Roman" w:hAnsi="Times New Roman" w:eastAsia="仿宋_GB2312" w:cs="Times New Roman"/>
          <w:b/>
          <w:bCs/>
          <w:sz w:val="32"/>
          <w:szCs w:val="32"/>
        </w:rPr>
        <w:t>常水位面积0.5km</w:t>
      </w:r>
      <w:r>
        <w:rPr>
          <w:rFonts w:ascii="Times New Roman" w:hAnsi="Times New Roman" w:eastAsia="仿宋_GB2312" w:cs="Times New Roman"/>
          <w:b/>
          <w:bCs/>
          <w:sz w:val="32"/>
          <w:szCs w:val="32"/>
          <w:vertAlign w:val="superscript"/>
        </w:rPr>
        <w:t>2</w:t>
      </w:r>
      <w:r>
        <w:rPr>
          <w:rFonts w:ascii="Times New Roman" w:hAnsi="Times New Roman" w:eastAsia="仿宋_GB2312" w:cs="Times New Roman"/>
          <w:b/>
          <w:bCs/>
          <w:sz w:val="32"/>
          <w:szCs w:val="32"/>
        </w:rPr>
        <w:t>以上</w:t>
      </w:r>
      <w:r>
        <w:rPr>
          <w:rFonts w:hint="eastAsia" w:ascii="Times New Roman" w:hAnsi="Times New Roman" w:eastAsia="仿宋_GB2312" w:cs="Times New Roman"/>
          <w:b/>
          <w:bCs/>
          <w:sz w:val="32"/>
          <w:szCs w:val="32"/>
        </w:rPr>
        <w:t>)</w:t>
      </w:r>
    </w:p>
    <w:p>
      <w:pPr>
        <w:spacing w:line="60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均为</w:t>
      </w:r>
      <w:r>
        <w:rPr>
          <w:rFonts w:ascii="Times New Roman" w:hAnsi="Times New Roman" w:eastAsia="仿宋_GB2312" w:cs="Times New Roman"/>
          <w:sz w:val="32"/>
          <w:szCs w:val="32"/>
        </w:rPr>
        <w:t>常水位岸线以内水域滩涂</w:t>
      </w:r>
      <w:r>
        <w:rPr>
          <w:rFonts w:hint="eastAsia" w:ascii="Times New Roman" w:hAnsi="Times New Roman" w:eastAsia="仿宋_GB2312" w:cs="Times New Roman"/>
          <w:sz w:val="32"/>
          <w:szCs w:val="32"/>
        </w:rPr>
        <w:t>，包括</w:t>
      </w:r>
      <w:r>
        <w:rPr>
          <w:rFonts w:ascii="Times New Roman" w:hAnsi="Times New Roman" w:eastAsia="仿宋_GB2312" w:cs="Times New Roman"/>
          <w:sz w:val="32"/>
          <w:szCs w:val="32"/>
        </w:rPr>
        <w:t>西岔湖、丰收圩、查村湖</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黄泥湖、小七里湖、肖思湖、太泊湖、狭阳湖、丁湖等</w:t>
      </w:r>
      <w:r>
        <w:rPr>
          <w:rFonts w:hint="eastAsia" w:ascii="Times New Roman" w:hAnsi="Times New Roman" w:eastAsia="仿宋_GB2312" w:cs="Times New Roman"/>
          <w:sz w:val="32"/>
          <w:szCs w:val="32"/>
        </w:rPr>
        <w:t>天然</w:t>
      </w:r>
      <w:r>
        <w:rPr>
          <w:rFonts w:ascii="Times New Roman" w:hAnsi="Times New Roman" w:eastAsia="仿宋_GB2312" w:cs="Times New Roman"/>
          <w:sz w:val="32"/>
          <w:szCs w:val="32"/>
        </w:rPr>
        <w:t>湖泊</w:t>
      </w:r>
      <w:r>
        <w:rPr>
          <w:rFonts w:hint="eastAsia" w:ascii="Times New Roman" w:hAnsi="Times New Roman" w:eastAsia="仿宋_GB2312" w:cs="Times New Roman"/>
          <w:sz w:val="32"/>
          <w:szCs w:val="32"/>
        </w:rPr>
        <w:t>。</w:t>
      </w:r>
    </w:p>
    <w:p>
      <w:pPr>
        <w:numPr>
          <w:ilvl w:val="0"/>
          <w:numId w:val="13"/>
        </w:numPr>
        <w:spacing w:line="600" w:lineRule="exact"/>
        <w:ind w:left="0"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全市中型、小（一）型及小（二）型水库（禁养区除外）</w:t>
      </w:r>
    </w:p>
    <w:p>
      <w:pPr>
        <w:spacing w:line="600" w:lineRule="exact"/>
        <w:ind w:firstLine="566" w:firstLineChars="177"/>
        <w:rPr>
          <w:rFonts w:ascii="Times New Roman" w:hAnsi="Times New Roman" w:eastAsia="仿宋_GB2312" w:cs="Times New Roman"/>
          <w:sz w:val="32"/>
          <w:szCs w:val="32"/>
        </w:rPr>
      </w:pPr>
      <w:r>
        <w:rPr>
          <w:rFonts w:ascii="Times New Roman" w:hAnsi="Times New Roman" w:eastAsia="仿宋_GB2312" w:cs="Times New Roman"/>
          <w:sz w:val="32"/>
          <w:szCs w:val="32"/>
        </w:rPr>
        <w:t>常水位线以内水域滩涂。</w:t>
      </w:r>
    </w:p>
    <w:p>
      <w:pPr>
        <w:numPr>
          <w:ilvl w:val="0"/>
          <w:numId w:val="11"/>
        </w:numPr>
        <w:spacing w:line="600" w:lineRule="exact"/>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管理措施</w:t>
      </w:r>
    </w:p>
    <w:p>
      <w:pPr>
        <w:numPr>
          <w:ilvl w:val="0"/>
          <w:numId w:val="14"/>
        </w:num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水库、湖泊禁止投饵、施肥养殖，网箱围栏养殖总面积不超过农业部规定的标准。</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养殖尾水排放符合国家和地方规定的污染物排放标准，不达标的，由本级政府及相关部门负责限期搬迁或关停。</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河流、湖泊天然水域实施禁渔期制度，禁渔期内禁止非法捕捞。</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湖泊、池塘、河沟等类型水域允许通过人工种草培螺发展虾蟹养殖。</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对河流、湖泊等重要天然水域实施渔业资源环境动态监测，监测水生生物资源环境状况及变动趋势，适时建立渔业资源环境基础信息数据库。</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对河流、湖泊重点天然水域按规范实施增殖保护，恢复天然鱼类资源，提高水生生物多样性和水生态系统稳定性。</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因地制宜发展休闲观光渔业，大型休闲观光项目需办理环境评价、用地许可等前置审批手续。</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加强公共天然水域渔政监管，提高渔政管理信息化、自动化水平，保护野生水生动植物种质资源及其栖息地。</w:t>
      </w:r>
    </w:p>
    <w:p>
      <w:pPr>
        <w:numPr>
          <w:ilvl w:val="0"/>
          <w:numId w:val="14"/>
        </w:num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符合环保要求、用地许可等前置审批条件下，允许建设工厂化循环设施渔业项目。</w:t>
      </w:r>
    </w:p>
    <w:p>
      <w:pPr>
        <w:pStyle w:val="3"/>
        <w:ind w:firstLine="643"/>
        <w:rPr>
          <w:rFonts w:ascii="Times New Roman" w:hAnsi="Times New Roman" w:cs="Times New Roman"/>
        </w:rPr>
      </w:pPr>
      <w:bookmarkStart w:id="49" w:name="_Toc27410"/>
      <w:r>
        <w:rPr>
          <w:rFonts w:ascii="Times New Roman" w:hAnsi="Times New Roman" w:cs="Times New Roman"/>
        </w:rPr>
        <w:t>养殖区</w:t>
      </w:r>
      <w:bookmarkEnd w:id="49"/>
    </w:p>
    <w:p>
      <w:pPr>
        <w:numPr>
          <w:ilvl w:val="0"/>
          <w:numId w:val="15"/>
        </w:numPr>
        <w:spacing w:line="600" w:lineRule="exact"/>
        <w:ind w:firstLine="686"/>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类型</w:t>
      </w:r>
    </w:p>
    <w:p>
      <w:pPr>
        <w:numPr>
          <w:ilvl w:val="0"/>
          <w:numId w:val="16"/>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池塘养殖区（含河沟）（代码：3-2-1）；</w:t>
      </w:r>
    </w:p>
    <w:p>
      <w:pPr>
        <w:numPr>
          <w:ilvl w:val="0"/>
          <w:numId w:val="16"/>
        </w:numPr>
        <w:spacing w:line="600" w:lineRule="exact"/>
        <w:ind w:left="0"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其他养殖区（代码：3-2-4）</w:t>
      </w:r>
    </w:p>
    <w:p>
      <w:pPr>
        <w:numPr>
          <w:ilvl w:val="0"/>
          <w:numId w:val="15"/>
        </w:numPr>
        <w:spacing w:line="600" w:lineRule="exact"/>
        <w:ind w:firstLine="7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范围</w:t>
      </w:r>
    </w:p>
    <w:p>
      <w:pPr>
        <w:numPr>
          <w:ilvl w:val="0"/>
          <w:numId w:val="17"/>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池塘养殖区（含河沟）</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全市禁养区、限养区范围以外现有宜渔池塘、河沟等类型水域；</w:t>
      </w:r>
    </w:p>
    <w:p>
      <w:pPr>
        <w:numPr>
          <w:ilvl w:val="0"/>
          <w:numId w:val="17"/>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其他养殖区</w:t>
      </w:r>
    </w:p>
    <w:p>
      <w:pPr>
        <w:spacing w:line="600" w:lineRule="exact"/>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全市宜渔稻田。</w:t>
      </w:r>
    </w:p>
    <w:p>
      <w:pPr>
        <w:numPr>
          <w:ilvl w:val="0"/>
          <w:numId w:val="15"/>
        </w:numPr>
        <w:spacing w:line="600" w:lineRule="exact"/>
        <w:ind w:firstLine="644"/>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管理措施</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完善养殖水域滩涂使用审批，健全和完善使用权招拍挂等交易制度，推进养殖水域滩涂承包经营权的确权工作，规范水域滩涂养殖发证登记工作；</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禁止大量施用化肥、粪肥等污染方式养殖；</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禁止施用违禁药物；</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须持证养殖；</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养殖尾水达标排放，参照国家或行业水产养殖尾水排放标准；国家或行业排放标准出台前，执行当地规定的水产养殖污染物排放标准；</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发展循环设施渔业模式，推广渔业物联网、智能精准投饵、疫病远程诊断等现代渔业技术，推广生物调水、生态沟渠、人工湿地等环保技术；</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养殖密度控制在合理范围，单位养殖容量不宜高于全市养殖池塘平均承载力；</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鼓励创建渔业品牌、实施产品产地质量认证，走质量效益型发展路线</w:t>
      </w:r>
      <w:r>
        <w:rPr>
          <w:rFonts w:hint="eastAsia" w:ascii="Times New Roman" w:hAnsi="Times New Roman" w:eastAsia="仿宋_GB2312" w:cs="Times New Roman"/>
          <w:sz w:val="32"/>
          <w:szCs w:val="32"/>
        </w:rPr>
        <w:t>；</w:t>
      </w:r>
    </w:p>
    <w:p>
      <w:pPr>
        <w:numPr>
          <w:ilvl w:val="0"/>
          <w:numId w:val="18"/>
        </w:numPr>
        <w:spacing w:line="600" w:lineRule="exact"/>
        <w:ind w:left="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稻田综合种养区重点</w:t>
      </w:r>
      <w:r>
        <w:rPr>
          <w:rFonts w:ascii="Times New Roman" w:hAnsi="Times New Roman" w:eastAsia="仿宋_GB2312" w:cs="Times New Roman"/>
          <w:sz w:val="32"/>
          <w:szCs w:val="32"/>
        </w:rPr>
        <w:t>发展稻—虾、稻—蟹、稻—鳖等生态环保型</w:t>
      </w:r>
      <w:r>
        <w:rPr>
          <w:rFonts w:hint="eastAsia" w:ascii="Times New Roman" w:hAnsi="Times New Roman" w:eastAsia="仿宋_GB2312" w:cs="Times New Roman"/>
          <w:sz w:val="32"/>
          <w:szCs w:val="32"/>
        </w:rPr>
        <w:t>共作或轮作渔业</w:t>
      </w:r>
      <w:r>
        <w:rPr>
          <w:rFonts w:ascii="Times New Roman" w:hAnsi="Times New Roman" w:eastAsia="仿宋_GB2312" w:cs="Times New Roman"/>
          <w:sz w:val="32"/>
          <w:szCs w:val="32"/>
        </w:rPr>
        <w:t>，推广生物调水技术、尾水生物净化技术等技术；</w:t>
      </w:r>
    </w:p>
    <w:p>
      <w:pPr>
        <w:rPr>
          <w:rFonts w:ascii="Times New Roman" w:hAnsi="Times New Roman" w:eastAsia="仿宋_GB2312" w:cs="Times New Roman"/>
          <w:sz w:val="32"/>
          <w:szCs w:val="32"/>
        </w:rPr>
        <w:sectPr>
          <w:pgSz w:w="11906" w:h="16838"/>
          <w:pgMar w:top="1440" w:right="1800" w:bottom="1440" w:left="1800" w:header="851" w:footer="992" w:gutter="0"/>
          <w:pgNumType w:fmt="decimal"/>
          <w:cols w:space="425" w:num="1"/>
          <w:docGrid w:type="lines" w:linePitch="312" w:charSpace="0"/>
        </w:sectPr>
      </w:pPr>
      <w:r>
        <w:rPr>
          <w:rFonts w:ascii="Times New Roman" w:hAnsi="Times New Roman" w:eastAsia="仿宋_GB2312" w:cs="Times New Roman"/>
          <w:sz w:val="32"/>
          <w:szCs w:val="32"/>
        </w:rPr>
        <w:t>加强基本农田保护，不得利用基本农田开挖鱼塘</w:t>
      </w:r>
      <w:r>
        <w:rPr>
          <w:rFonts w:hint="eastAsia" w:ascii="Times New Roman" w:hAnsi="Times New Roman" w:eastAsia="仿宋_GB2312" w:cs="Times New Roman"/>
          <w:sz w:val="32"/>
          <w:szCs w:val="32"/>
        </w:rPr>
        <w:t>，应保护农田耕作层</w:t>
      </w:r>
      <w:r>
        <w:rPr>
          <w:rFonts w:ascii="Times New Roman" w:hAnsi="Times New Roman" w:eastAsia="仿宋_GB2312" w:cs="Times New Roman"/>
          <w:sz w:val="32"/>
          <w:szCs w:val="32"/>
        </w:rPr>
        <w:t>。</w:t>
      </w:r>
    </w:p>
    <w:p>
      <w:pPr>
        <w:pStyle w:val="2"/>
        <w:ind w:firstLine="964" w:firstLineChars="200"/>
        <w:rPr>
          <w:rFonts w:ascii="Times New Roman" w:hAnsi="Times New Roman" w:cs="Times New Roman"/>
          <w:sz w:val="48"/>
          <w:szCs w:val="48"/>
        </w:rPr>
      </w:pPr>
      <w:bookmarkStart w:id="50" w:name="_Toc1679"/>
      <w:r>
        <w:rPr>
          <w:rFonts w:ascii="Times New Roman" w:hAnsi="Times New Roman" w:cs="Times New Roman"/>
          <w:sz w:val="48"/>
          <w:szCs w:val="48"/>
        </w:rPr>
        <w:t>保障措施</w:t>
      </w:r>
      <w:bookmarkEnd w:id="50"/>
    </w:p>
    <w:p>
      <w:pPr>
        <w:pStyle w:val="3"/>
        <w:ind w:firstLine="643"/>
        <w:rPr>
          <w:rFonts w:ascii="Times New Roman" w:hAnsi="Times New Roman" w:cs="Times New Roman"/>
        </w:rPr>
      </w:pPr>
      <w:bookmarkStart w:id="51" w:name="_Toc7445"/>
      <w:r>
        <w:rPr>
          <w:rFonts w:ascii="Times New Roman" w:hAnsi="Times New Roman" w:cs="Times New Roman"/>
        </w:rPr>
        <w:t>加强组织领导</w:t>
      </w:r>
      <w:bookmarkEnd w:id="51"/>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成立由</w:t>
      </w:r>
      <w:r>
        <w:rPr>
          <w:rFonts w:hint="eastAsia" w:ascii="Times New Roman" w:hAnsi="Times New Roman" w:eastAsia="仿宋_GB2312" w:cs="Times New Roman"/>
          <w:sz w:val="32"/>
          <w:szCs w:val="32"/>
        </w:rPr>
        <w:t>市</w:t>
      </w:r>
      <w:r>
        <w:rPr>
          <w:rFonts w:ascii="Times New Roman" w:hAnsi="Times New Roman" w:eastAsia="仿宋_GB2312" w:cs="Times New Roman"/>
          <w:sz w:val="32"/>
          <w:szCs w:val="32"/>
        </w:rPr>
        <w:t>政府分管领导任组长，</w:t>
      </w:r>
      <w:r>
        <w:rPr>
          <w:rFonts w:hint="eastAsia" w:ascii="Times New Roman" w:hAnsi="Times New Roman" w:eastAsia="仿宋_GB2312" w:cs="Times New Roman"/>
          <w:sz w:val="32"/>
          <w:szCs w:val="32"/>
        </w:rPr>
        <w:t>市有关部门</w:t>
      </w:r>
      <w:r>
        <w:rPr>
          <w:rFonts w:ascii="Times New Roman" w:hAnsi="Times New Roman" w:eastAsia="仿宋_GB2312" w:cs="Times New Roman"/>
          <w:sz w:val="32"/>
          <w:szCs w:val="32"/>
        </w:rPr>
        <w:t>参与的规划实施领导小组，领导组下设办公室。建立联席会议机制，对规划实施过程中出现的重大事项保持密切沟通协调，统筹分析，合力推进，确保规划顺利实施。</w:t>
      </w:r>
    </w:p>
    <w:p>
      <w:pPr>
        <w:pStyle w:val="3"/>
        <w:ind w:firstLine="643"/>
        <w:rPr>
          <w:rFonts w:ascii="Times New Roman" w:hAnsi="Times New Roman" w:cs="Times New Roman"/>
        </w:rPr>
      </w:pPr>
      <w:bookmarkStart w:id="52" w:name="_Toc1996"/>
      <w:r>
        <w:rPr>
          <w:rFonts w:ascii="Times New Roman" w:hAnsi="Times New Roman" w:cs="Times New Roman"/>
        </w:rPr>
        <w:t>强化监督检查</w:t>
      </w:r>
      <w:bookmarkEnd w:id="52"/>
    </w:p>
    <w:p>
      <w:pPr>
        <w:spacing w:line="600"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完善养殖水域滩涂监管和审批制度，</w:t>
      </w:r>
      <w:r>
        <w:rPr>
          <w:rFonts w:hint="eastAsia" w:ascii="Times New Roman" w:hAnsi="Times New Roman" w:eastAsia="仿宋_GB2312" w:cs="Times New Roman"/>
          <w:color w:val="auto"/>
          <w:sz w:val="32"/>
          <w:szCs w:val="32"/>
        </w:rPr>
        <w:t>组织县区政府开展全面排查，</w:t>
      </w:r>
      <w:r>
        <w:rPr>
          <w:rFonts w:ascii="Times New Roman" w:hAnsi="Times New Roman" w:eastAsia="仿宋_GB2312" w:cs="Times New Roman"/>
          <w:color w:val="auto"/>
          <w:sz w:val="32"/>
          <w:szCs w:val="32"/>
        </w:rPr>
        <w:t>对禁养区内养殖场实施搬迁或关停。对限养区水域滩涂加强监管指导，引领发展以休闲体验和生态增殖为主的生态渔业模式。对养殖区水域滩涂进行确权登记，核发养殖证，实行持证养殖，并加强技术模式引导服务，大力发展绿色健康养殖。</w:t>
      </w:r>
    </w:p>
    <w:p>
      <w:pPr>
        <w:pStyle w:val="3"/>
        <w:ind w:firstLine="643"/>
        <w:rPr>
          <w:rFonts w:ascii="Times New Roman" w:hAnsi="Times New Roman" w:cs="Times New Roman"/>
        </w:rPr>
      </w:pPr>
      <w:bookmarkStart w:id="53" w:name="_Toc10031"/>
      <w:r>
        <w:rPr>
          <w:rFonts w:ascii="Times New Roman" w:hAnsi="Times New Roman" w:cs="Times New Roman"/>
        </w:rPr>
        <w:t>完善生态保护</w:t>
      </w:r>
      <w:bookmarkEnd w:id="53"/>
    </w:p>
    <w:p>
      <w:pPr>
        <w:rPr>
          <w:rFonts w:ascii="Times New Roman" w:hAnsi="Times New Roman" w:eastAsia="仿宋_GB2312" w:cs="Times New Roman"/>
          <w:sz w:val="32"/>
          <w:szCs w:val="32"/>
        </w:rPr>
      </w:pPr>
      <w:r>
        <w:rPr>
          <w:rFonts w:ascii="Times New Roman" w:hAnsi="Times New Roman" w:eastAsia="仿宋_GB2312" w:cs="Times New Roman"/>
          <w:sz w:val="32"/>
          <w:szCs w:val="32"/>
        </w:rPr>
        <w:t>加强全市水域滩涂资源保护和生态修复，重要湖泊河流天然水域实施增殖放流。防止工农业废水、生活污水直接输入，尤其防止重金属及其他有毒、有害物质的污染。养殖水域内，根据水体承载力，引领发展绿色生态渔业和高效设施渔业，推广人工湿地净化、微生物调水等养殖环境调控技术；集中连片养殖区配套养殖尾水净化处理设施，实现养殖尾水达标排放；建立养殖水域管理规范，对养殖投入品、养殖方式进行规范管理。</w:t>
      </w:r>
    </w:p>
    <w:p>
      <w:pPr>
        <w:pStyle w:val="3"/>
        <w:ind w:firstLine="643"/>
        <w:rPr>
          <w:rFonts w:ascii="Times New Roman" w:hAnsi="Times New Roman" w:cs="Times New Roman"/>
        </w:rPr>
      </w:pPr>
      <w:bookmarkStart w:id="54" w:name="_Toc25056"/>
      <w:r>
        <w:rPr>
          <w:rFonts w:ascii="Times New Roman" w:hAnsi="Times New Roman" w:cs="Times New Roman"/>
        </w:rPr>
        <w:t>其他保障措施</w:t>
      </w:r>
      <w:bookmarkEnd w:id="54"/>
    </w:p>
    <w:p>
      <w:pPr>
        <w:spacing w:line="600"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贯彻《中共中央国务院关于加快推进生态文明建设的意见》、《国务院关于印发水污染防治行动计划的通知》、</w:t>
      </w:r>
      <w:r>
        <w:rPr>
          <w:rFonts w:ascii="Times New Roman" w:hAnsi="Times New Roman" w:eastAsia="仿宋" w:cs="Times New Roman"/>
          <w:color w:val="auto"/>
          <w:sz w:val="30"/>
          <w:szCs w:val="30"/>
        </w:rPr>
        <w:t>农业部令2011年 第1号《水产种质资源保护区管理暂行办法》</w:t>
      </w:r>
      <w:r>
        <w:rPr>
          <w:rFonts w:hint="eastAsia" w:ascii="Times New Roman" w:hAnsi="Times New Roman" w:eastAsia="仿宋" w:cs="Times New Roman"/>
          <w:color w:val="auto"/>
          <w:sz w:val="30"/>
          <w:szCs w:val="30"/>
        </w:rPr>
        <w:t>、</w:t>
      </w:r>
      <w:r>
        <w:rPr>
          <w:rFonts w:ascii="Times New Roman" w:hAnsi="Times New Roman" w:eastAsia="仿宋_GB2312" w:cs="Times New Roman"/>
          <w:color w:val="auto"/>
          <w:sz w:val="32"/>
          <w:szCs w:val="32"/>
        </w:rPr>
        <w:t>(33)《中共安徽省委、安徽省人民政府关于推进乡村振兴战略的实施意见》（皖发〔2018〕1号）等文件精神，加快推进渔业转方式调结构，促进渔业健康持续发展。通过公告、微信公众号等多种载体，加大规划实施的宣传力度，重点宣传规划关于禁养区、限养区和养殖区划定的有关内容，明确禁养、限养、可养范围，对规划进行广泛的科普解读，做好优势特色品牌培育宣传等，营造养殖水域滩涂规划建设的良好社会氛围。</w:t>
      </w:r>
    </w:p>
    <w:p>
      <w:pPr>
        <w:widowControl/>
        <w:ind w:firstLine="640"/>
        <w:textAlignment w:val="center"/>
        <w:rPr>
          <w:rFonts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推进国家级水产种质资源保护区管理机构建设，落实经费，全面负责国家级水产种质资源保护区日常监督管理工作。明确、细化国家级水产种质资源保护区管理机构工作职责，建立完善各项管理制度。</w:t>
      </w:r>
      <w:r>
        <w:rPr>
          <w:rFonts w:ascii="Times New Roman" w:hAnsi="Times New Roman" w:eastAsia="仿宋_GB2312" w:cs="Times New Roman"/>
          <w:color w:val="auto"/>
          <w:sz w:val="32"/>
          <w:szCs w:val="32"/>
        </w:rPr>
        <w:t>加强全市渔政队伍和装备建设，提升渔政管理信息化水平，建立完善渔政管理制度，充实</w:t>
      </w:r>
      <w:r>
        <w:rPr>
          <w:rFonts w:hint="eastAsia" w:ascii="Times New Roman" w:hAnsi="Times New Roman" w:eastAsia="仿宋_GB2312" w:cs="Times New Roman"/>
          <w:color w:val="auto"/>
          <w:sz w:val="32"/>
          <w:szCs w:val="32"/>
        </w:rPr>
        <w:t>市</w:t>
      </w:r>
      <w:r>
        <w:rPr>
          <w:rFonts w:ascii="Times New Roman" w:hAnsi="Times New Roman" w:eastAsia="仿宋_GB2312" w:cs="Times New Roman"/>
          <w:color w:val="auto"/>
          <w:sz w:val="32"/>
          <w:szCs w:val="32"/>
        </w:rPr>
        <w:t>渔政力量，提升全市公共水域渔政监管能力。</w:t>
      </w:r>
    </w:p>
    <w:p>
      <w:pPr>
        <w:rPr>
          <w:rFonts w:ascii="Times New Roman" w:hAnsi="Times New Roman" w:eastAsia="仿宋_GB2312" w:cs="Times New Roman"/>
          <w:sz w:val="32"/>
          <w:szCs w:val="32"/>
        </w:rPr>
        <w:sectPr>
          <w:pgSz w:w="11906" w:h="16838"/>
          <w:pgMar w:top="1440" w:right="1800" w:bottom="1440" w:left="1800" w:header="851" w:footer="992" w:gutter="0"/>
          <w:pgNumType w:fmt="decimal"/>
          <w:cols w:space="425" w:num="1"/>
          <w:docGrid w:type="lines" w:linePitch="312" w:charSpace="0"/>
        </w:sectPr>
      </w:pPr>
    </w:p>
    <w:p>
      <w:pPr>
        <w:pStyle w:val="2"/>
        <w:ind w:firstLine="964" w:firstLineChars="200"/>
        <w:rPr>
          <w:rFonts w:ascii="Times New Roman" w:hAnsi="Times New Roman" w:cs="Times New Roman"/>
          <w:sz w:val="48"/>
          <w:szCs w:val="48"/>
        </w:rPr>
      </w:pPr>
      <w:bookmarkStart w:id="55" w:name="_Toc237"/>
      <w:r>
        <w:rPr>
          <w:rFonts w:ascii="Times New Roman" w:hAnsi="Times New Roman" w:cs="Times New Roman"/>
          <w:sz w:val="48"/>
          <w:szCs w:val="48"/>
        </w:rPr>
        <w:t>附    则</w:t>
      </w:r>
      <w:bookmarkEnd w:id="55"/>
    </w:p>
    <w:p>
      <w:pPr>
        <w:pStyle w:val="3"/>
        <w:ind w:firstLine="643"/>
        <w:rPr>
          <w:rFonts w:ascii="Times New Roman" w:hAnsi="Times New Roman" w:cs="Times New Roman"/>
        </w:rPr>
      </w:pPr>
      <w:bookmarkStart w:id="56" w:name="_Toc1692"/>
      <w:r>
        <w:rPr>
          <w:rFonts w:ascii="Times New Roman" w:hAnsi="Times New Roman" w:cs="Times New Roman"/>
        </w:rPr>
        <w:t>关于规划效力</w:t>
      </w:r>
      <w:bookmarkEnd w:id="56"/>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养殖水域滩涂规划一经批准，即具有约束效力，必须严格执行。</w:t>
      </w:r>
    </w:p>
    <w:p>
      <w:pPr>
        <w:pStyle w:val="3"/>
        <w:ind w:firstLine="643"/>
        <w:rPr>
          <w:rFonts w:ascii="Times New Roman" w:hAnsi="Times New Roman" w:cs="Times New Roman"/>
        </w:rPr>
      </w:pPr>
      <w:bookmarkStart w:id="57" w:name="_Toc30138"/>
      <w:r>
        <w:rPr>
          <w:rFonts w:ascii="Times New Roman" w:hAnsi="Times New Roman" w:cs="Times New Roman"/>
        </w:rPr>
        <w:t>关于规划图件</w:t>
      </w:r>
      <w:bookmarkEnd w:id="57"/>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规划图为规划文本附件，具有与文本同等的效力。</w:t>
      </w:r>
    </w:p>
    <w:p>
      <w:pPr>
        <w:pStyle w:val="3"/>
        <w:ind w:firstLine="643"/>
        <w:rPr>
          <w:rFonts w:ascii="Times New Roman" w:hAnsi="Times New Roman" w:cs="Times New Roman"/>
        </w:rPr>
      </w:pPr>
      <w:bookmarkStart w:id="58" w:name="_Toc25863"/>
      <w:bookmarkStart w:id="59" w:name="_Toc13376"/>
      <w:r>
        <w:rPr>
          <w:rFonts w:ascii="Times New Roman" w:hAnsi="Times New Roman" w:cs="Times New Roman"/>
        </w:rPr>
        <w:t>关于规划实施的补充说明</w:t>
      </w:r>
      <w:bookmarkEnd w:id="58"/>
      <w:bookmarkEnd w:id="59"/>
    </w:p>
    <w:p>
      <w:pPr>
        <w:spacing w:line="600" w:lineRule="exact"/>
        <w:ind w:firstLine="640" w:firstLineChars="200"/>
        <w:rPr>
          <w:rFonts w:ascii="Times New Roman" w:hAnsi="Times New Roman" w:eastAsia="仿宋_GB2312" w:cs="Times New Roman"/>
          <w:sz w:val="32"/>
          <w:szCs w:val="32"/>
        </w:rPr>
      </w:pPr>
      <w:bookmarkStart w:id="60" w:name="_Toc694"/>
      <w:r>
        <w:rPr>
          <w:rFonts w:ascii="Times New Roman" w:hAnsi="Times New Roman" w:eastAsia="仿宋_GB2312" w:cs="Times New Roman"/>
          <w:sz w:val="32"/>
          <w:szCs w:val="32"/>
        </w:rPr>
        <w:t>本规划所确定的水域滩涂功能区范围如与现行相关上位规划、文件有相冲突之处，从其规定。</w:t>
      </w:r>
    </w:p>
    <w:p>
      <w:pPr>
        <w:pStyle w:val="3"/>
        <w:ind w:firstLine="643"/>
        <w:rPr>
          <w:rFonts w:ascii="Times New Roman" w:hAnsi="Times New Roman" w:cs="Times New Roman"/>
        </w:rPr>
      </w:pPr>
      <w:bookmarkStart w:id="61" w:name="_Toc13057"/>
      <w:r>
        <w:rPr>
          <w:rFonts w:ascii="Times New Roman" w:hAnsi="Times New Roman" w:cs="Times New Roman"/>
        </w:rPr>
        <w:t>关于规划修订</w:t>
      </w:r>
      <w:bookmarkEnd w:id="60"/>
      <w:bookmarkEnd w:id="61"/>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规划批准后，未经规定程序任何单位和个人不得随意更改，本级渔业行政主管部门应定期对规划实施情况开展评估，因生态安全或重大民生工程建设等原因，养殖水域滩涂环境发生重大改变确需修改的，由本级渔业行政主管部门提出修改建议。一般性修改是指在局部地区进行的不涉及一级养殖水域滩涂类型调整的，可由本级渔业行政主管部门提出修改方案，报同级人民政府批准后修改实施。重大修改是指涉及一级养殖水域滩涂类型调整的，应报上一级渔业行政主管部门审核同意，由本级渔业行政主管部门组织论证，报本级人民政府批准后修改实施。</w:t>
      </w:r>
    </w:p>
    <w:p>
      <w:pPr>
        <w:pStyle w:val="3"/>
        <w:ind w:firstLine="643"/>
        <w:rPr>
          <w:rFonts w:ascii="Times New Roman" w:hAnsi="Times New Roman" w:cs="Times New Roman"/>
        </w:rPr>
      </w:pPr>
      <w:bookmarkStart w:id="62" w:name="_Toc11761"/>
      <w:bookmarkStart w:id="63" w:name="_Toc10535"/>
      <w:r>
        <w:rPr>
          <w:rFonts w:ascii="Times New Roman" w:hAnsi="Times New Roman" w:cs="Times New Roman"/>
        </w:rPr>
        <w:t>有关术语</w:t>
      </w:r>
      <w:bookmarkEnd w:id="62"/>
      <w:bookmarkEnd w:id="63"/>
    </w:p>
    <w:p>
      <w:pPr>
        <w:spacing w:line="60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1．禁止养殖区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饮用水水源地一级保护区、自然保护区核心区和缓冲区、国家级水产种质资源保护区核心区等重点生态功能区水域，港口、航道、行洪区、河道堤防安全保护区等公共设施安全市域内水域，有毒有害物质超过规定国家渔业水质标准的水域，以及法律法规规定的其他禁止从事水产养殖的水域。禁止养殖区内水域滩涂不得用于生产经营性水产养殖；可按规范实施增殖放流，经科学评估和审批，可实施以生态调控为目的的捕捞。</w:t>
      </w:r>
    </w:p>
    <w:p>
      <w:pPr>
        <w:spacing w:line="60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2．限制养殖区</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饮用水水源二级保护区、自然保护区实验区和外围保护地带、国家级水产种质资源保护区实验区、风景名胜区等生态功能区水域，重点湖泊水库等公共自然水域，以及法律法规规定的其他限制从事水产养殖的水域。限制养殖区内允许从事水产养殖、捕捞等渔业生产经营行为，但湖泊河流等公共自然水域内不得开展网箱围栏养殖，生产方式以非投饵施肥的人工增殖为主，允许人工种草培螺以发展虾蟹养殖；须采取污染防治措施，污染物排放不得超过国家和地方规定的污染物排放标准。</w:t>
      </w:r>
    </w:p>
    <w:p>
      <w:pPr>
        <w:spacing w:line="60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3．养殖区（淡水）</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禁止养殖区、限制养殖区范围以外水质符合国家渔业水质标准的池塘、湖泊、水库等类型水域。养殖区内主要以投饵方式养殖，需合理密度、合理投饵、合理用药、持证养殖；须采取污染防治措施，污染物排放不得超过国家和地方规定的污染物排放标准。</w:t>
      </w:r>
    </w:p>
    <w:p>
      <w:pPr>
        <w:numPr>
          <w:ilvl w:val="0"/>
          <w:numId w:val="19"/>
        </w:numPr>
        <w:spacing w:line="60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滩涂</w:t>
      </w:r>
    </w:p>
    <w:p>
      <w:pPr>
        <w:rPr>
          <w:rFonts w:ascii="Times New Roman" w:hAnsi="Times New Roman" w:eastAsia="仿宋_GB2312" w:cs="Times New Roman"/>
          <w:sz w:val="32"/>
          <w:szCs w:val="32"/>
        </w:rPr>
        <w:sectPr>
          <w:pgSz w:w="11906" w:h="16838"/>
          <w:pgMar w:top="1440" w:right="1800" w:bottom="1440" w:left="1800" w:header="851" w:footer="992" w:gutter="0"/>
          <w:pgNumType w:fmt="decimal"/>
          <w:cols w:space="425" w:num="1"/>
          <w:docGrid w:type="lines" w:linePitch="312" w:charSpace="0"/>
        </w:sectPr>
      </w:pPr>
      <w:r>
        <w:rPr>
          <w:rFonts w:ascii="Times New Roman" w:hAnsi="Times New Roman" w:eastAsia="仿宋_GB2312" w:cs="Times New Roman"/>
          <w:sz w:val="32"/>
          <w:szCs w:val="32"/>
        </w:rPr>
        <w:t>河流</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湖泊</w:t>
      </w:r>
      <w:r>
        <w:rPr>
          <w:rFonts w:hint="eastAsia" w:ascii="Times New Roman" w:hAnsi="Times New Roman" w:eastAsia="仿宋_GB2312" w:cs="Times New Roman"/>
          <w:sz w:val="32"/>
          <w:szCs w:val="32"/>
        </w:rPr>
        <w:t>、水库</w:t>
      </w:r>
      <w:r>
        <w:rPr>
          <w:rFonts w:ascii="Times New Roman" w:hAnsi="Times New Roman" w:eastAsia="仿宋_GB2312" w:cs="Times New Roman"/>
          <w:sz w:val="32"/>
          <w:szCs w:val="32"/>
        </w:rPr>
        <w:t>常水位至</w:t>
      </w:r>
      <w:r>
        <w:rPr>
          <w:rFonts w:hint="eastAsia" w:ascii="Times New Roman" w:hAnsi="Times New Roman" w:eastAsia="仿宋_GB2312" w:cs="Times New Roman"/>
          <w:sz w:val="32"/>
          <w:szCs w:val="32"/>
        </w:rPr>
        <w:t>最高</w:t>
      </w:r>
      <w:r>
        <w:rPr>
          <w:rFonts w:ascii="Times New Roman" w:hAnsi="Times New Roman" w:eastAsia="仿宋_GB2312" w:cs="Times New Roman"/>
          <w:sz w:val="32"/>
          <w:szCs w:val="32"/>
        </w:rPr>
        <w:t>洪水位间的滩地</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时令湖、河洪水位以下的滩地</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水库、坑塘的正常蓄水位与最大洪水位间的滩地。</w:t>
      </w:r>
    </w:p>
    <w:p>
      <w:pPr>
        <w:pStyle w:val="2"/>
        <w:numPr>
          <w:ilvl w:val="0"/>
          <w:numId w:val="0"/>
        </w:numPr>
        <w:ind w:left="402"/>
        <w:rPr>
          <w:rFonts w:ascii="Times New Roman" w:hAnsi="Times New Roman" w:cs="Times New Roman"/>
        </w:rPr>
      </w:pPr>
      <w:bookmarkStart w:id="64" w:name="_Toc32541"/>
      <w:bookmarkStart w:id="65" w:name="_Toc9460"/>
      <w:r>
        <w:rPr>
          <w:rFonts w:ascii="Times New Roman" w:hAnsi="Times New Roman" w:cs="Times New Roman"/>
        </w:rPr>
        <w:t>附表1  养殖水域滩涂功能区划表</w:t>
      </w:r>
      <w:bookmarkEnd w:id="64"/>
      <w:bookmarkEnd w:id="65"/>
    </w:p>
    <w:tbl>
      <w:tblPr>
        <w:tblStyle w:val="10"/>
        <w:tblW w:w="20411" w:type="dxa"/>
        <w:jc w:val="center"/>
        <w:tblLayout w:type="fixed"/>
        <w:tblCellMar>
          <w:top w:w="0" w:type="dxa"/>
          <w:left w:w="0" w:type="dxa"/>
          <w:bottom w:w="0" w:type="dxa"/>
          <w:right w:w="0" w:type="dxa"/>
        </w:tblCellMar>
      </w:tblPr>
      <w:tblGrid>
        <w:gridCol w:w="709"/>
        <w:gridCol w:w="1397"/>
        <w:gridCol w:w="766"/>
        <w:gridCol w:w="1809"/>
        <w:gridCol w:w="1271"/>
        <w:gridCol w:w="14459"/>
      </w:tblGrid>
      <w:tr>
        <w:tblPrEx>
          <w:tblCellMar>
            <w:top w:w="0" w:type="dxa"/>
            <w:left w:w="0" w:type="dxa"/>
            <w:bottom w:w="0" w:type="dxa"/>
            <w:right w:w="0" w:type="dxa"/>
          </w:tblCellMar>
        </w:tblPrEx>
        <w:trPr>
          <w:trHeight w:val="505" w:hRule="atLeast"/>
          <w:jc w:val="center"/>
        </w:trPr>
        <w:tc>
          <w:tcPr>
            <w:tcW w:w="2106" w:type="dxa"/>
            <w:gridSpan w:val="2"/>
            <w:tcBorders>
              <w:top w:val="single" w:color="auto" w:sz="12" w:space="0"/>
              <w:left w:val="single" w:color="auto" w:sz="12" w:space="0"/>
              <w:bottom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一级</w:t>
            </w:r>
          </w:p>
        </w:tc>
        <w:tc>
          <w:tcPr>
            <w:tcW w:w="2575" w:type="dxa"/>
            <w:gridSpan w:val="2"/>
            <w:tcBorders>
              <w:top w:val="single" w:color="auto" w:sz="12" w:space="0"/>
              <w:left w:val="single" w:color="auto" w:sz="8" w:space="0"/>
              <w:bottom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二级</w:t>
            </w:r>
          </w:p>
        </w:tc>
        <w:tc>
          <w:tcPr>
            <w:tcW w:w="15730" w:type="dxa"/>
            <w:gridSpan w:val="2"/>
            <w:tcBorders>
              <w:top w:val="single" w:color="auto" w:sz="12" w:space="0"/>
              <w:left w:val="single" w:color="auto" w:sz="8" w:space="0"/>
              <w:bottom w:val="single" w:color="auto" w:sz="8" w:space="0"/>
              <w:right w:val="single" w:color="auto" w:sz="12"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三级</w:t>
            </w:r>
          </w:p>
        </w:tc>
      </w:tr>
      <w:tr>
        <w:tblPrEx>
          <w:tblCellMar>
            <w:top w:w="0" w:type="dxa"/>
            <w:left w:w="0" w:type="dxa"/>
            <w:bottom w:w="0" w:type="dxa"/>
            <w:right w:w="0" w:type="dxa"/>
          </w:tblCellMar>
        </w:tblPrEx>
        <w:trPr>
          <w:trHeight w:val="537" w:hRule="atLeast"/>
          <w:jc w:val="center"/>
        </w:trPr>
        <w:tc>
          <w:tcPr>
            <w:tcW w:w="709" w:type="dxa"/>
            <w:tcBorders>
              <w:top w:val="single" w:color="auto" w:sz="8" w:space="0"/>
              <w:left w:val="single" w:color="auto" w:sz="12" w:space="0"/>
              <w:bottom w:val="single" w:color="auto" w:sz="4"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代码</w:t>
            </w:r>
          </w:p>
        </w:tc>
        <w:tc>
          <w:tcPr>
            <w:tcW w:w="1397" w:type="dxa"/>
            <w:tcBorders>
              <w:top w:val="single" w:color="auto" w:sz="8" w:space="0"/>
              <w:left w:val="single" w:color="auto" w:sz="8" w:space="0"/>
              <w:bottom w:val="single" w:color="auto" w:sz="4"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名称</w:t>
            </w:r>
          </w:p>
        </w:tc>
        <w:tc>
          <w:tcPr>
            <w:tcW w:w="766" w:type="dxa"/>
            <w:tcBorders>
              <w:top w:val="single" w:color="auto" w:sz="8" w:space="0"/>
              <w:left w:val="single" w:color="auto" w:sz="8" w:space="0"/>
              <w:bottom w:val="single" w:color="auto" w:sz="4"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代码</w:t>
            </w:r>
          </w:p>
        </w:tc>
        <w:tc>
          <w:tcPr>
            <w:tcW w:w="1809" w:type="dxa"/>
            <w:tcBorders>
              <w:top w:val="single" w:color="auto" w:sz="8" w:space="0"/>
              <w:left w:val="single" w:color="auto" w:sz="8" w:space="0"/>
              <w:bottom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名称</w:t>
            </w:r>
          </w:p>
        </w:tc>
        <w:tc>
          <w:tcPr>
            <w:tcW w:w="1271" w:type="dxa"/>
            <w:tcBorders>
              <w:top w:val="single" w:color="auto" w:sz="8" w:space="0"/>
              <w:left w:val="single" w:color="auto" w:sz="8" w:space="0"/>
              <w:bottom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代码</w:t>
            </w:r>
          </w:p>
        </w:tc>
        <w:tc>
          <w:tcPr>
            <w:tcW w:w="14459" w:type="dxa"/>
            <w:tcBorders>
              <w:top w:val="single" w:color="auto" w:sz="8" w:space="0"/>
              <w:left w:val="single" w:color="auto" w:sz="8" w:space="0"/>
              <w:bottom w:val="single" w:color="auto" w:sz="8" w:space="0"/>
              <w:right w:val="single" w:color="auto" w:sz="12"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名称</w:t>
            </w:r>
          </w:p>
        </w:tc>
      </w:tr>
      <w:tr>
        <w:tblPrEx>
          <w:tblCellMar>
            <w:top w:w="0" w:type="dxa"/>
            <w:left w:w="0" w:type="dxa"/>
            <w:bottom w:w="0" w:type="dxa"/>
            <w:right w:w="0" w:type="dxa"/>
          </w:tblCellMar>
        </w:tblPrEx>
        <w:trPr>
          <w:trHeight w:val="1112"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1</w:t>
            </w:r>
          </w:p>
        </w:tc>
        <w:tc>
          <w:tcPr>
            <w:tcW w:w="139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禁养区</w:t>
            </w:r>
          </w:p>
        </w:tc>
        <w:tc>
          <w:tcPr>
            <w:tcW w:w="766"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1-1</w:t>
            </w:r>
          </w:p>
        </w:tc>
        <w:tc>
          <w:tcPr>
            <w:tcW w:w="17539" w:type="dxa"/>
            <w:gridSpan w:val="3"/>
            <w:tcBorders>
              <w:top w:val="single" w:color="auto" w:sz="8" w:space="0"/>
              <w:left w:val="single" w:color="auto" w:sz="4" w:space="0"/>
              <w:bottom w:val="single" w:color="auto" w:sz="4" w:space="0"/>
              <w:right w:val="single" w:color="auto" w:sz="12" w:space="0"/>
            </w:tcBorders>
            <w:vAlign w:val="center"/>
          </w:tcPr>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全市集中式饮用水水源地（含备用水源）一级保护区水域</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全市集中式饮用水水源地（含备用水源）一级保护区依相应核准文件，无核准文件的参照《饮用水水源保护区划分技术规范(HJ-T338-2007)》划设标准：</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河流型集中式饮用水水源地（含备用水源）一级保护区：取水口上游1000m，下游不小于100m的河道水域；</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中小型湖泊、水库集中式饮用水水源地（含备用水源）一级保护区：取水口半径300m范围内的水域；</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大中型湖泊、大型水库集中式饮用水水源地（含备用水源）一级保护区：取水口半径500m范围内的水域。</w:t>
            </w:r>
          </w:p>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升金湖国家级自然保护区核心区与缓冲区</w:t>
            </w:r>
          </w:p>
          <w:p>
            <w:pPr>
              <w:spacing w:line="440" w:lineRule="exact"/>
              <w:ind w:left="420" w:leftChars="200" w:firstLine="562" w:firstLineChars="200"/>
              <w:rPr>
                <w:rFonts w:ascii="Times New Roman" w:hAnsi="Times New Roman" w:eastAsia="仿宋_GB2312" w:cs="Times New Roman"/>
                <w:sz w:val="28"/>
                <w:szCs w:val="28"/>
              </w:rPr>
            </w:pPr>
            <w:r>
              <w:rPr>
                <w:rFonts w:ascii="Times New Roman" w:hAnsi="Times New Roman" w:eastAsia="仿宋_GB2312" w:cs="Times New Roman"/>
                <w:b/>
                <w:bCs/>
                <w:sz w:val="28"/>
                <w:szCs w:val="28"/>
              </w:rPr>
              <w:t>核心区</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面积10150hm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占保护区面积的30.4%。东自黄湓河人渡经燕窝，经高桥湖西岸、外排、神山头、沙山、下毛咀、毕家咀至杨峨头。南自杨峨头向南经沿湖圩堤经张溪河、楂树墩圩堤至烂稻陈。西自烂稻陈沿湖岸线经横洲、赤岸至小路嘴。北自小路嘴沿湖岸经朱家咀、唐家咀、七星墩至黄湓河人渡。该区域是珍稀水禽的主要分布区，是具有代表性和完整性的自然生态系统地段，禁止除科研、监测以外的一切人为活动。</w:t>
            </w:r>
          </w:p>
          <w:p>
            <w:pPr>
              <w:spacing w:line="440" w:lineRule="exact"/>
              <w:ind w:left="420" w:leftChars="200" w:firstLine="562" w:firstLineChars="200"/>
              <w:rPr>
                <w:rFonts w:ascii="Times New Roman" w:hAnsi="Times New Roman" w:eastAsia="仿宋_GB2312" w:cs="Times New Roman"/>
                <w:sz w:val="28"/>
                <w:szCs w:val="28"/>
              </w:rPr>
            </w:pPr>
            <w:r>
              <w:rPr>
                <w:rFonts w:ascii="Times New Roman" w:hAnsi="Times New Roman" w:eastAsia="仿宋_GB2312" w:cs="Times New Roman"/>
                <w:b/>
                <w:bCs/>
                <w:sz w:val="28"/>
                <w:szCs w:val="28"/>
              </w:rPr>
              <w:t>缓冲区</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面积10300 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,占保护区总面积的30.9%。分为四片，其中：东片，3875 hm2，自高桥湖西侧湖岸线经外排、神山头、沙山，由沙山向南直线至下毛咀，经坦埠、汪村、唐田、枣章、新屋、徐家、石闸、叶家咀、窑山接高桥湖西侧湖岸线。南片，3175 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，包括白联圩、复兴圩、楂刺墩圩、白密圩、蜜蜂圩、王坝圩、东湖圩、五星圩。西片：1075 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，包括原瓦垅乡东侧的新胜圩、横洲。北片：2175 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自章家村路口向东经坝塘、姜坝、张村、刘家、曹家坝至南闸，由南闸向南经周家咀、花家咀、龙家咀、张家店、朱家咀、杨家咀、小路咀、兆夫村、东咀至章家村路口。具体范围以《安徽升金湖国家级自然保护区总体规划（2011-2020）》为准。</w:t>
            </w:r>
          </w:p>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十八索省级自然保护区核心区与缓冲区</w:t>
            </w:r>
          </w:p>
          <w:p>
            <w:pPr>
              <w:spacing w:line="440" w:lineRule="exact"/>
              <w:ind w:left="420" w:leftChars="200" w:firstLine="562" w:firstLineChars="200"/>
              <w:rPr>
                <w:rFonts w:ascii="Times New Roman" w:hAnsi="Times New Roman" w:eastAsia="仿宋_GB2312" w:cs="Times New Roman"/>
                <w:sz w:val="28"/>
                <w:szCs w:val="28"/>
              </w:rPr>
            </w:pPr>
            <w:r>
              <w:rPr>
                <w:rFonts w:ascii="Times New Roman" w:hAnsi="Times New Roman" w:eastAsia="仿宋_GB2312" w:cs="Times New Roman"/>
                <w:b/>
                <w:bCs/>
                <w:sz w:val="28"/>
                <w:szCs w:val="28"/>
              </w:rPr>
              <w:t>核心区</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面积为1056hm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，占保护区总面积28.9％。由十八索湖、双丰圩组成，其中十八索湖面积为506hm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、双丰圩面积为550hm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、此区域是湿地生态环境最好，各种越冬水禽栖息最多的地方，也是珍稀水禽分布较集中的区域。</w:t>
            </w:r>
          </w:p>
          <w:p>
            <w:pPr>
              <w:spacing w:line="440" w:lineRule="exact"/>
              <w:ind w:left="420" w:leftChars="200" w:firstLine="562" w:firstLineChars="200"/>
              <w:rPr>
                <w:rFonts w:ascii="Times New Roman" w:hAnsi="Times New Roman" w:eastAsia="仿宋_GB2312" w:cs="Times New Roman"/>
                <w:sz w:val="28"/>
                <w:szCs w:val="28"/>
              </w:rPr>
            </w:pPr>
            <w:r>
              <w:rPr>
                <w:rFonts w:ascii="Times New Roman" w:hAnsi="Times New Roman" w:eastAsia="仿宋_GB2312" w:cs="Times New Roman"/>
                <w:b/>
                <w:bCs/>
                <w:sz w:val="28"/>
                <w:szCs w:val="28"/>
              </w:rPr>
              <w:t>缓冲区</w:t>
            </w:r>
            <w:r>
              <w:rPr>
                <w:rFonts w:hint="eastAsia" w:ascii="Times New Roman" w:hAnsi="Times New Roman" w:eastAsia="仿宋_GB2312" w:cs="Times New Roman"/>
                <w:b/>
                <w:bCs/>
                <w:sz w:val="28"/>
                <w:szCs w:val="28"/>
              </w:rPr>
              <w:t>：</w:t>
            </w:r>
            <w:r>
              <w:rPr>
                <w:rFonts w:ascii="Times New Roman" w:hAnsi="Times New Roman" w:eastAsia="仿宋_GB2312" w:cs="Times New Roman"/>
                <w:sz w:val="28"/>
                <w:szCs w:val="28"/>
              </w:rPr>
              <w:t>缓冲区面积630 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，占保护区总面积17.3％。分布在十八索湖和双丰圩核心区外围成带状分布，尽量避开人居活动区，最窄宽度达到100m。</w:t>
            </w:r>
          </w:p>
          <w:p>
            <w:pPr>
              <w:pStyle w:val="13"/>
              <w:spacing w:line="440" w:lineRule="exact"/>
              <w:rPr>
                <w:rFonts w:ascii="Times New Roman" w:hAnsi="Times New Roman" w:eastAsia="仿宋_GB2312" w:cs="Times New Roman"/>
                <w:sz w:val="28"/>
                <w:szCs w:val="28"/>
              </w:rPr>
            </w:pPr>
          </w:p>
          <w:p>
            <w:pPr>
              <w:pStyle w:val="13"/>
              <w:spacing w:line="440" w:lineRule="exact"/>
              <w:rPr>
                <w:rFonts w:ascii="Times New Roman" w:hAnsi="Times New Roman" w:eastAsia="仿宋_GB2312" w:cs="Times New Roman"/>
                <w:sz w:val="28"/>
                <w:szCs w:val="28"/>
              </w:rPr>
            </w:pPr>
          </w:p>
        </w:tc>
      </w:tr>
      <w:tr>
        <w:tblPrEx>
          <w:tblCellMar>
            <w:top w:w="0" w:type="dxa"/>
            <w:left w:w="0" w:type="dxa"/>
            <w:bottom w:w="0" w:type="dxa"/>
            <w:right w:w="0" w:type="dxa"/>
          </w:tblCellMar>
        </w:tblPrEx>
        <w:trPr>
          <w:trHeight w:val="1112" w:hRule="atLeast"/>
          <w:jc w:val="center"/>
        </w:trPr>
        <w:tc>
          <w:tcPr>
            <w:tcW w:w="709" w:type="dxa"/>
            <w:vMerge w:val="restart"/>
            <w:tcBorders>
              <w:top w:val="single" w:color="auto" w:sz="4" w:space="0"/>
              <w:left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1</w:t>
            </w:r>
          </w:p>
        </w:tc>
        <w:tc>
          <w:tcPr>
            <w:tcW w:w="1397" w:type="dxa"/>
            <w:vMerge w:val="restart"/>
            <w:tcBorders>
              <w:top w:val="single" w:color="auto" w:sz="4" w:space="0"/>
              <w:left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禁养区</w:t>
            </w:r>
          </w:p>
        </w:tc>
        <w:tc>
          <w:tcPr>
            <w:tcW w:w="766"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1-1</w:t>
            </w:r>
          </w:p>
        </w:tc>
        <w:tc>
          <w:tcPr>
            <w:tcW w:w="17539" w:type="dxa"/>
            <w:gridSpan w:val="3"/>
            <w:tcBorders>
              <w:top w:val="single" w:color="auto" w:sz="8" w:space="0"/>
              <w:left w:val="single" w:color="auto" w:sz="4" w:space="0"/>
              <w:bottom w:val="single" w:color="auto" w:sz="4" w:space="0"/>
              <w:right w:val="single" w:color="auto" w:sz="12" w:space="0"/>
            </w:tcBorders>
            <w:vAlign w:val="center"/>
          </w:tcPr>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秋浦河特有鱼类国家级水产种质资源保护区核心区</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从天生湖大湖及由天生湖大堤北（E 117°21′38.6"，N 30°34′34.06"）、天生湖大堤南（E 117°21′10.1", N 30°33′56.5"）、普丰圩（E 117°20′21.3"，N 30°31′27.7"）、下贵滩对岸（E 117°18′26.9", N 30°31′27.5"）、木闸口（E 117°19′22.6", N 30°31′29.7"）、西埂人渡（E 117°21′38.1", N30°35′19.6"）等6个拐点沿河道方向顺次连线所围的水域，水域长9.5km，面积为808 hm2，具体范围以《安徽十八索省级自然保护区总体规划》为准。</w:t>
            </w:r>
          </w:p>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安徽秋浦河源国家湿地公园</w:t>
            </w:r>
          </w:p>
          <w:p>
            <w:pPr>
              <w:spacing w:line="440" w:lineRule="exact"/>
              <w:ind w:left="420" w:leftChars="200" w:firstLine="640" w:firstLineChars="200"/>
              <w:rPr>
                <w:rFonts w:ascii="Times New Roman" w:hAnsi="Times New Roman" w:eastAsia="仿宋_GB2312" w:cs="Times New Roman"/>
                <w:sz w:val="28"/>
                <w:szCs w:val="28"/>
              </w:rPr>
            </w:pPr>
            <w:r>
              <w:rPr>
                <w:rFonts w:ascii="Times New Roman" w:hAnsi="Times New Roman" w:eastAsia="仿宋_GB2312" w:cs="Times New Roman"/>
                <w:sz w:val="32"/>
                <w:szCs w:val="32"/>
              </w:rPr>
              <w:t>秋浦河上游区域，包括公信河、演溪河以及鸿凌河部分河段，湿地公园范围包括河道、河床、河滩及其两边50m～1000m不等的范围内，涉及乡镇包括仙寓镇、大演乡和横渡镇，1850 hm</w:t>
            </w:r>
            <w:r>
              <w:rPr>
                <w:rFonts w:ascii="Times New Roman" w:hAnsi="Times New Roman" w:eastAsia="仿宋_GB2312" w:cs="Times New Roman"/>
                <w:sz w:val="32"/>
                <w:szCs w:val="32"/>
                <w:vertAlign w:val="superscript"/>
              </w:rPr>
              <w:t>2</w:t>
            </w:r>
            <w:r>
              <w:rPr>
                <w:rFonts w:ascii="Times New Roman" w:hAnsi="Times New Roman" w:eastAsia="仿宋_GB2312" w:cs="Times New Roman"/>
                <w:sz w:val="32"/>
                <w:szCs w:val="32"/>
              </w:rPr>
              <w:t>，具体边界范围以《安徽秋浦河源国家湿地公园总体规划》为准</w:t>
            </w:r>
            <w:r>
              <w:rPr>
                <w:rFonts w:hint="eastAsia" w:ascii="Times New Roman" w:hAnsi="Times New Roman" w:eastAsia="仿宋_GB2312" w:cs="Times New Roman"/>
                <w:sz w:val="28"/>
                <w:szCs w:val="28"/>
              </w:rPr>
              <w:t>。</w:t>
            </w:r>
          </w:p>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黄湓河鰕虎鱼、青虾国家级水产种质资源保护区核心区</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位于黄湓河张溪段张溪镇仙亭村上邹至苦菱沟（东经117°05′20″-117°01′03″北纬30°12′30″-30°16′44″）之间，全长10.6公里。面积211.9hm2。具体坐标为：117°05′20.7″E，30°12′30.1″N（上邹）—117°05′59.3″E，30°13′53.7″N（港口傅）—117°04′46.8″E，30°14′06.8″N（塔里）—117°04′34.6″E，30°14′18.8″N（石潭）—117°04′33.9″E，30°15′21.8″N（东田）—117°04′12.2″E，30°15′23.6″N(后杨)—117°03′39.3″E，30°15′24.1″N（檀村）—117°02′23.7″E，30°15′55.9″N（高傅家）—117°02′35.7″E，30°16′07.8″N（高王家）—117°02′24.9″E，30°46′16.7″N(傅家河)—117°01′03.3″E，30°16′44.3″N（苦菱沟）等11个拐点沿河道方向顺次连线所围的水域。</w:t>
            </w:r>
          </w:p>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牯牛降国家级自然保护区核心区</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具体边界范围以</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牯牛降国家级自然保护区</w:t>
            </w:r>
            <w:r>
              <w:rPr>
                <w:rFonts w:hint="eastAsia" w:ascii="Times New Roman" w:hAnsi="Times New Roman" w:eastAsia="仿宋_GB2312" w:cs="Times New Roman"/>
                <w:sz w:val="28"/>
                <w:szCs w:val="28"/>
              </w:rPr>
              <w:t>功能区划图》等相关核准</w:t>
            </w:r>
            <w:r>
              <w:rPr>
                <w:rFonts w:ascii="Times New Roman" w:hAnsi="Times New Roman" w:eastAsia="仿宋_GB2312" w:cs="Times New Roman"/>
                <w:sz w:val="28"/>
                <w:szCs w:val="28"/>
              </w:rPr>
              <w:t>文件为准</w:t>
            </w:r>
            <w:r>
              <w:rPr>
                <w:rFonts w:hint="eastAsia" w:ascii="Times New Roman" w:hAnsi="Times New Roman" w:eastAsia="仿宋_GB2312" w:cs="Times New Roman"/>
                <w:sz w:val="28"/>
                <w:szCs w:val="28"/>
              </w:rPr>
              <w:t>。</w:t>
            </w:r>
          </w:p>
          <w:p>
            <w:pPr>
              <w:numPr>
                <w:ilvl w:val="0"/>
                <w:numId w:val="20"/>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贵池老山省级自然保护区核心区</w:t>
            </w:r>
          </w:p>
          <w:p>
            <w:pPr>
              <w:pStyle w:val="13"/>
              <w:spacing w:line="440" w:lineRule="exact"/>
              <w:rPr>
                <w:rFonts w:ascii="Times New Roman" w:hAnsi="Times New Roman" w:eastAsia="仿宋" w:cs="Times New Roman"/>
                <w:sz w:val="28"/>
                <w:szCs w:val="28"/>
              </w:rPr>
            </w:pPr>
            <w:r>
              <w:rPr>
                <w:rFonts w:ascii="Times New Roman" w:hAnsi="Times New Roman" w:eastAsia="仿宋_GB2312" w:cs="Times New Roman"/>
                <w:sz w:val="28"/>
                <w:szCs w:val="28"/>
              </w:rPr>
              <w:t>具体边界范围以</w:t>
            </w:r>
            <w:r>
              <w:rPr>
                <w:rFonts w:hint="eastAsia" w:ascii="Times New Roman" w:hAnsi="Times New Roman" w:eastAsia="仿宋_GB2312" w:cs="Times New Roman"/>
                <w:sz w:val="28"/>
                <w:szCs w:val="28"/>
              </w:rPr>
              <w:t>《安徽老山省级</w:t>
            </w:r>
            <w:r>
              <w:rPr>
                <w:rFonts w:ascii="Times New Roman" w:hAnsi="Times New Roman" w:eastAsia="仿宋_GB2312" w:cs="Times New Roman"/>
                <w:sz w:val="28"/>
                <w:szCs w:val="28"/>
              </w:rPr>
              <w:t>自然保护区</w:t>
            </w:r>
            <w:r>
              <w:rPr>
                <w:rFonts w:hint="eastAsia" w:ascii="Times New Roman" w:hAnsi="Times New Roman" w:eastAsia="仿宋_GB2312" w:cs="Times New Roman"/>
                <w:sz w:val="28"/>
                <w:szCs w:val="28"/>
              </w:rPr>
              <w:t>功能区划图》等相关核准</w:t>
            </w:r>
            <w:r>
              <w:rPr>
                <w:rFonts w:ascii="Times New Roman" w:hAnsi="Times New Roman" w:eastAsia="仿宋_GB2312" w:cs="Times New Roman"/>
                <w:sz w:val="28"/>
                <w:szCs w:val="28"/>
              </w:rPr>
              <w:t>文件为准</w:t>
            </w:r>
            <w:r>
              <w:rPr>
                <w:rFonts w:hint="eastAsia" w:ascii="Times New Roman" w:hAnsi="Times New Roman" w:eastAsia="仿宋_GB2312" w:cs="Times New Roman"/>
                <w:sz w:val="28"/>
                <w:szCs w:val="28"/>
              </w:rPr>
              <w:t>。</w:t>
            </w:r>
          </w:p>
        </w:tc>
      </w:tr>
      <w:tr>
        <w:tblPrEx>
          <w:tblCellMar>
            <w:top w:w="0" w:type="dxa"/>
            <w:left w:w="0" w:type="dxa"/>
            <w:bottom w:w="0" w:type="dxa"/>
            <w:right w:w="0" w:type="dxa"/>
          </w:tblCellMar>
        </w:tblPrEx>
        <w:trPr>
          <w:trHeight w:val="830" w:hRule="atLeast"/>
          <w:jc w:val="center"/>
        </w:trPr>
        <w:tc>
          <w:tcPr>
            <w:tcW w:w="709" w:type="dxa"/>
            <w:vMerge w:val="continue"/>
            <w:tcBorders>
              <w:left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Cs w:val="21"/>
              </w:rPr>
            </w:pPr>
          </w:p>
        </w:tc>
        <w:tc>
          <w:tcPr>
            <w:tcW w:w="1397" w:type="dxa"/>
            <w:vMerge w:val="continue"/>
            <w:tcBorders>
              <w:left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Cs w:val="21"/>
              </w:rPr>
            </w:pPr>
          </w:p>
        </w:tc>
        <w:tc>
          <w:tcPr>
            <w:tcW w:w="766"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1-2</w:t>
            </w:r>
          </w:p>
        </w:tc>
        <w:tc>
          <w:tcPr>
            <w:tcW w:w="17539" w:type="dxa"/>
            <w:gridSpan w:val="3"/>
            <w:tcBorders>
              <w:top w:val="single" w:color="auto" w:sz="4" w:space="0"/>
              <w:left w:val="single" w:color="auto" w:sz="4" w:space="0"/>
              <w:bottom w:val="single" w:color="auto" w:sz="8" w:space="0"/>
              <w:right w:val="single" w:color="auto" w:sz="12" w:space="0"/>
            </w:tcBorders>
            <w:vAlign w:val="center"/>
          </w:tcPr>
          <w:p>
            <w:pPr>
              <w:numPr>
                <w:ilvl w:val="0"/>
                <w:numId w:val="20"/>
              </w:numPr>
              <w:spacing w:line="440" w:lineRule="exact"/>
              <w:ind w:left="0" w:firstLine="562" w:firstLineChars="200"/>
              <w:rPr>
                <w:rFonts w:ascii="Times New Roman" w:hAnsi="Times New Roman" w:eastAsia="仿宋" w:cs="Times New Roman"/>
                <w:b/>
                <w:bCs/>
                <w:sz w:val="28"/>
                <w:szCs w:val="28"/>
              </w:rPr>
            </w:pPr>
            <w:r>
              <w:rPr>
                <w:rFonts w:ascii="Times New Roman" w:hAnsi="Times New Roman" w:eastAsia="仿宋" w:cs="Times New Roman"/>
                <w:b/>
                <w:bCs/>
                <w:sz w:val="28"/>
                <w:szCs w:val="28"/>
              </w:rPr>
              <w:t>河道行洪区、堤防安全保护区、航道、港口、渡口区域内水域滩涂</w:t>
            </w:r>
          </w:p>
          <w:p>
            <w:pPr>
              <w:autoSpaceDE w:val="0"/>
              <w:autoSpaceDN w:val="0"/>
              <w:spacing w:line="440" w:lineRule="exact"/>
              <w:ind w:left="210" w:right="279" w:rightChars="133"/>
              <w:rPr>
                <w:rFonts w:ascii="Times New Roman" w:hAnsi="Times New Roman" w:cs="Times New Roman" w:eastAsiaTheme="minorEastAsia"/>
                <w:kern w:val="0"/>
                <w:sz w:val="28"/>
                <w:szCs w:val="28"/>
              </w:rPr>
            </w:pPr>
            <w:r>
              <w:rPr>
                <w:rFonts w:hint="eastAsia" w:ascii="Times New Roman" w:hAnsi="Times New Roman" w:eastAsia="仿宋_GB2312" w:cs="Times New Roman"/>
                <w:sz w:val="32"/>
                <w:szCs w:val="32"/>
              </w:rPr>
              <w:t>全市开放型自然河流主河道及其支流行洪区、堤防安全保护区、航道、港口、渡口区域内水域滩涂。</w:t>
            </w:r>
          </w:p>
        </w:tc>
      </w:tr>
      <w:tr>
        <w:tblPrEx>
          <w:tblCellMar>
            <w:top w:w="0" w:type="dxa"/>
            <w:left w:w="0" w:type="dxa"/>
            <w:bottom w:w="0" w:type="dxa"/>
            <w:right w:w="0" w:type="dxa"/>
          </w:tblCellMar>
        </w:tblPrEx>
        <w:trPr>
          <w:trHeight w:val="830" w:hRule="atLeast"/>
          <w:jc w:val="center"/>
        </w:trPr>
        <w:tc>
          <w:tcPr>
            <w:tcW w:w="709" w:type="dxa"/>
            <w:vMerge w:val="continue"/>
            <w:tcBorders>
              <w:left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Cs w:val="21"/>
              </w:rPr>
            </w:pPr>
          </w:p>
        </w:tc>
        <w:tc>
          <w:tcPr>
            <w:tcW w:w="1397" w:type="dxa"/>
            <w:vMerge w:val="continue"/>
            <w:tcBorders>
              <w:left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Cs w:val="21"/>
              </w:rPr>
            </w:pPr>
          </w:p>
        </w:tc>
        <w:tc>
          <w:tcPr>
            <w:tcW w:w="766"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hint="eastAsia" w:ascii="Times New Roman" w:hAnsi="Times New Roman" w:cs="Times New Roman" w:eastAsiaTheme="minorEastAsia"/>
                <w:kern w:val="0"/>
                <w:sz w:val="28"/>
                <w:szCs w:val="28"/>
              </w:rPr>
              <w:t>1-3</w:t>
            </w:r>
          </w:p>
        </w:tc>
        <w:tc>
          <w:tcPr>
            <w:tcW w:w="17539" w:type="dxa"/>
            <w:gridSpan w:val="3"/>
            <w:tcBorders>
              <w:top w:val="single" w:color="auto" w:sz="8" w:space="0"/>
              <w:left w:val="single" w:color="auto" w:sz="4" w:space="0"/>
              <w:bottom w:val="single" w:color="auto" w:sz="8" w:space="0"/>
              <w:right w:val="single" w:color="auto" w:sz="12" w:space="0"/>
            </w:tcBorders>
            <w:vAlign w:val="center"/>
          </w:tcPr>
          <w:p>
            <w:pPr>
              <w:numPr>
                <w:ilvl w:val="0"/>
                <w:numId w:val="20"/>
              </w:numPr>
              <w:spacing w:line="440" w:lineRule="exact"/>
              <w:ind w:left="0" w:firstLine="562" w:firstLineChars="200"/>
              <w:rPr>
                <w:rFonts w:ascii="Times New Roman" w:hAnsi="Times New Roman" w:eastAsia="仿宋" w:cs="Times New Roman"/>
                <w:kern w:val="21"/>
                <w:sz w:val="28"/>
                <w:szCs w:val="28"/>
              </w:rPr>
            </w:pPr>
            <w:r>
              <w:rPr>
                <w:rFonts w:hint="eastAsia" w:ascii="Times New Roman" w:hAnsi="Times New Roman" w:eastAsia="仿宋_GB2312" w:cs="Times New Roman"/>
                <w:b/>
                <w:bCs/>
                <w:sz w:val="28"/>
                <w:szCs w:val="28"/>
              </w:rPr>
              <w:t>有毒有害物质超过规定标准的水体</w:t>
            </w:r>
          </w:p>
        </w:tc>
      </w:tr>
      <w:tr>
        <w:tblPrEx>
          <w:tblCellMar>
            <w:top w:w="0" w:type="dxa"/>
            <w:left w:w="0" w:type="dxa"/>
            <w:bottom w:w="0" w:type="dxa"/>
            <w:right w:w="0" w:type="dxa"/>
          </w:tblCellMar>
        </w:tblPrEx>
        <w:trPr>
          <w:trHeight w:val="830" w:hRule="atLeast"/>
          <w:jc w:val="center"/>
        </w:trPr>
        <w:tc>
          <w:tcPr>
            <w:tcW w:w="709" w:type="dxa"/>
            <w:vMerge w:val="continue"/>
            <w:tcBorders>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Cs w:val="21"/>
              </w:rPr>
            </w:pPr>
          </w:p>
        </w:tc>
        <w:tc>
          <w:tcPr>
            <w:tcW w:w="1397" w:type="dxa"/>
            <w:vMerge w:val="continue"/>
            <w:tcBorders>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Cs w:val="21"/>
              </w:rPr>
            </w:pPr>
          </w:p>
        </w:tc>
        <w:tc>
          <w:tcPr>
            <w:tcW w:w="766"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cs="Times New Roman" w:eastAsiaTheme="minorEastAsia"/>
                <w:kern w:val="0"/>
                <w:sz w:val="28"/>
                <w:szCs w:val="28"/>
              </w:rPr>
            </w:pPr>
            <w:r>
              <w:rPr>
                <w:rFonts w:hint="eastAsia" w:ascii="Times New Roman" w:hAnsi="Times New Roman" w:cs="Times New Roman" w:eastAsiaTheme="minorEastAsia"/>
                <w:kern w:val="0"/>
                <w:sz w:val="28"/>
                <w:szCs w:val="28"/>
              </w:rPr>
              <w:t>1-4</w:t>
            </w:r>
          </w:p>
        </w:tc>
        <w:tc>
          <w:tcPr>
            <w:tcW w:w="17539" w:type="dxa"/>
            <w:gridSpan w:val="3"/>
            <w:tcBorders>
              <w:top w:val="single" w:color="auto" w:sz="8" w:space="0"/>
              <w:left w:val="single" w:color="auto" w:sz="4" w:space="0"/>
              <w:bottom w:val="single" w:color="auto" w:sz="8" w:space="0"/>
              <w:right w:val="single" w:color="auto" w:sz="12" w:space="0"/>
            </w:tcBorders>
            <w:vAlign w:val="center"/>
          </w:tcPr>
          <w:p>
            <w:pPr>
              <w:numPr>
                <w:ilvl w:val="0"/>
                <w:numId w:val="20"/>
              </w:numPr>
              <w:spacing w:line="440" w:lineRule="exact"/>
              <w:ind w:left="0" w:firstLine="562" w:firstLineChars="200"/>
              <w:rPr>
                <w:rFonts w:ascii="Times New Roman" w:hAnsi="Times New Roman" w:eastAsia="仿宋" w:cs="Times New Roman"/>
                <w:kern w:val="21"/>
                <w:sz w:val="28"/>
                <w:szCs w:val="28"/>
              </w:rPr>
            </w:pPr>
            <w:r>
              <w:rPr>
                <w:rFonts w:hint="eastAsia" w:ascii="Times New Roman" w:hAnsi="Times New Roman" w:eastAsia="仿宋_GB2312" w:cs="Times New Roman"/>
                <w:b/>
                <w:bCs/>
                <w:sz w:val="28"/>
                <w:szCs w:val="28"/>
              </w:rPr>
              <w:t>法律法规规定的其他禁止养殖区</w:t>
            </w:r>
          </w:p>
        </w:tc>
      </w:tr>
      <w:tr>
        <w:tblPrEx>
          <w:tblCellMar>
            <w:top w:w="0" w:type="dxa"/>
            <w:left w:w="0" w:type="dxa"/>
            <w:bottom w:w="0" w:type="dxa"/>
            <w:right w:w="0" w:type="dxa"/>
          </w:tblCellMar>
        </w:tblPrEx>
        <w:trPr>
          <w:trHeight w:val="2004" w:hRule="atLeast"/>
          <w:jc w:val="center"/>
        </w:trPr>
        <w:tc>
          <w:tcPr>
            <w:tcW w:w="709" w:type="dxa"/>
            <w:vMerge w:val="restart"/>
            <w:tcBorders>
              <w:top w:val="single" w:color="auto" w:sz="4" w:space="0"/>
              <w:left w:val="single" w:color="auto" w:sz="12"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2</w:t>
            </w:r>
          </w:p>
        </w:tc>
        <w:tc>
          <w:tcPr>
            <w:tcW w:w="1397" w:type="dxa"/>
            <w:vMerge w:val="restart"/>
            <w:tcBorders>
              <w:top w:val="single" w:color="auto" w:sz="4" w:space="0"/>
              <w:left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限养区</w:t>
            </w:r>
          </w:p>
        </w:tc>
        <w:tc>
          <w:tcPr>
            <w:tcW w:w="766" w:type="dxa"/>
            <w:tcBorders>
              <w:top w:val="single" w:color="auto" w:sz="4" w:space="0"/>
              <w:left w:val="single" w:color="auto" w:sz="8" w:space="0"/>
              <w:bottom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2-1</w:t>
            </w:r>
          </w:p>
        </w:tc>
        <w:tc>
          <w:tcPr>
            <w:tcW w:w="17539" w:type="dxa"/>
            <w:gridSpan w:val="3"/>
            <w:tcBorders>
              <w:top w:val="single" w:color="auto" w:sz="8" w:space="0"/>
              <w:left w:val="single" w:color="auto" w:sz="8" w:space="0"/>
              <w:bottom w:val="single" w:color="auto" w:sz="8" w:space="0"/>
              <w:right w:val="single" w:color="auto" w:sz="12" w:space="0"/>
            </w:tcBorders>
            <w:vAlign w:val="center"/>
          </w:tcPr>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全市集中式饮用水水源地（含备用水源）二级保护区</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一般河流水源地，二级保护区长度从一级保护区的上游边界向上游（包括汇入的上游支流）</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 xml:space="preserve">延伸不得小于 2000 </w:t>
            </w:r>
            <w:r>
              <w:rPr>
                <w:rFonts w:hint="eastAsia" w:ascii="Times New Roman" w:hAnsi="Times New Roman" w:eastAsia="仿宋_GB2312" w:cs="Times New Roman"/>
                <w:sz w:val="28"/>
                <w:szCs w:val="28"/>
              </w:rPr>
              <w:t>m</w:t>
            </w:r>
            <w:r>
              <w:rPr>
                <w:rFonts w:ascii="Times New Roman" w:hAnsi="Times New Roman" w:eastAsia="仿宋_GB2312" w:cs="Times New Roman"/>
                <w:sz w:val="28"/>
                <w:szCs w:val="28"/>
              </w:rPr>
              <w:t xml:space="preserve">，下游侧外边界距一级保护区边界不得小于 200 </w:t>
            </w:r>
            <w:r>
              <w:rPr>
                <w:rFonts w:hint="eastAsia" w:ascii="Times New Roman" w:hAnsi="Times New Roman" w:eastAsia="仿宋_GB2312" w:cs="Times New Roman"/>
                <w:sz w:val="28"/>
                <w:szCs w:val="28"/>
              </w:rPr>
              <w:t>m</w:t>
            </w:r>
            <w:r>
              <w:rPr>
                <w:rFonts w:ascii="Times New Roman" w:hAnsi="Times New Roman" w:eastAsia="仿宋_GB2312" w:cs="Times New Roman"/>
                <w:sz w:val="28"/>
                <w:szCs w:val="28"/>
              </w:rPr>
              <w:t xml:space="preserve">。小型湖泊、中小型水库为取水口侧正常水位线以上 200 </w:t>
            </w:r>
            <w:r>
              <w:rPr>
                <w:rFonts w:hint="eastAsia" w:ascii="Times New Roman" w:hAnsi="Times New Roman" w:eastAsia="仿宋_GB2312" w:cs="Times New Roman"/>
                <w:sz w:val="28"/>
                <w:szCs w:val="28"/>
              </w:rPr>
              <w:t>m</w:t>
            </w:r>
            <w:r>
              <w:rPr>
                <w:rFonts w:ascii="Times New Roman" w:hAnsi="Times New Roman" w:eastAsia="仿宋_GB2312" w:cs="Times New Roman"/>
                <w:sz w:val="28"/>
                <w:szCs w:val="28"/>
              </w:rPr>
              <w:t>范围内的陆域，或一定高程线以下的陆域，但不超过流域分水岭范围</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 xml:space="preserve">大型水库为取水口侧正常水位线以上 200 </w:t>
            </w:r>
            <w:r>
              <w:rPr>
                <w:rFonts w:hint="eastAsia" w:ascii="Times New Roman" w:hAnsi="Times New Roman" w:eastAsia="仿宋_GB2312" w:cs="Times New Roman"/>
                <w:sz w:val="28"/>
                <w:szCs w:val="28"/>
              </w:rPr>
              <w:t>m</w:t>
            </w:r>
            <w:r>
              <w:rPr>
                <w:rFonts w:ascii="Times New Roman" w:hAnsi="Times New Roman" w:eastAsia="仿宋_GB2312" w:cs="Times New Roman"/>
                <w:sz w:val="28"/>
                <w:szCs w:val="28"/>
              </w:rPr>
              <w:t>范围内的陆域</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 xml:space="preserve">大中型湖泊为取水口侧正常水位线以上 200 </w:t>
            </w:r>
            <w:r>
              <w:rPr>
                <w:rFonts w:hint="eastAsia" w:ascii="Times New Roman" w:hAnsi="Times New Roman" w:eastAsia="仿宋_GB2312" w:cs="Times New Roman"/>
                <w:sz w:val="28"/>
                <w:szCs w:val="28"/>
              </w:rPr>
              <w:t>m</w:t>
            </w:r>
            <w:r>
              <w:rPr>
                <w:rFonts w:ascii="Times New Roman" w:hAnsi="Times New Roman" w:eastAsia="仿宋_GB2312" w:cs="Times New Roman"/>
                <w:sz w:val="28"/>
                <w:szCs w:val="28"/>
              </w:rPr>
              <w:t>范围内的陆域</w:t>
            </w:r>
            <w:r>
              <w:rPr>
                <w:rFonts w:hint="eastAsia" w:ascii="Times New Roman" w:hAnsi="Times New Roman" w:eastAsia="仿宋_GB2312" w:cs="Times New Roman"/>
                <w:sz w:val="28"/>
                <w:szCs w:val="28"/>
              </w:rPr>
              <w:t>。具体范围以各饮用水源核准文件为准</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升金湖国家级自然保护区实验区</w:t>
            </w:r>
          </w:p>
          <w:p>
            <w:pPr>
              <w:spacing w:line="440" w:lineRule="exact"/>
              <w:ind w:left="420" w:leftChars="200"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保护区</w:t>
            </w:r>
            <w:r>
              <w:rPr>
                <w:rFonts w:ascii="Times New Roman" w:hAnsi="Times New Roman" w:eastAsia="仿宋_GB2312" w:cs="Times New Roman"/>
                <w:sz w:val="28"/>
                <w:szCs w:val="28"/>
              </w:rPr>
              <w:t>地处东经116°55′至117°15′，北纬30°15′至30°30′。座落于东至县与贵池区交界处，全境以升金湖为中心，沿岸分别向外延伸2.5km左右。其四邻界线为，东自高桥湖东岸经唐田、坦埠、刘村、白笏、杨家咀连线为界，南至丁村、长岭，西至206国道，北自将军庙经新河口至牛头山一线。保护区除去核心区、缓冲区以外的地区均属实验区，即保护区境内沿湖四周的陆地部分，面积为12890 hm</w:t>
            </w:r>
            <w:r>
              <w:rPr>
                <w:rFonts w:ascii="Times New Roman" w:hAnsi="Times New Roman" w:eastAsia="仿宋_GB2312" w:cs="Times New Roman"/>
                <w:sz w:val="28"/>
                <w:szCs w:val="28"/>
                <w:vertAlign w:val="superscript"/>
              </w:rPr>
              <w:t>2</w:t>
            </w:r>
            <w:r>
              <w:rPr>
                <w:rFonts w:ascii="Times New Roman" w:hAnsi="Times New Roman" w:eastAsia="仿宋_GB2312" w:cs="Times New Roman"/>
                <w:sz w:val="28"/>
                <w:szCs w:val="28"/>
              </w:rPr>
              <w:t>，占保护区总面积的38.7%。</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十八索省级自然保护区实验区</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在保护区内除去核心区与缓冲区即为实验区，其总面积为1965.6hm2占保护区总面积53.8％。实验区主要为东西两片：</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西片分布于十八索湖、双丰圩西侧的桐梓山、双湖村、双丰村范围内 ，地貌为丘岗地。东片分布于庆丰圩、跃进圩、扁担洲、汀洲村及双丰圩以南的洪家堰一带，其中有丘岗地、水稻田湿地和湖面。</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贵池老山省级自然保护区实验区</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黄湓河鰕虎鱼、青虾国家级水产种质资源保护区实验区</w:t>
            </w:r>
          </w:p>
          <w:p>
            <w:pPr>
              <w:spacing w:line="440" w:lineRule="exact"/>
              <w:ind w:left="420" w:leftChars="200"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张溪镇东湖村高湖圩苦菱沟至张溪镇联盟村杨峨头，跨地理坐标为：东经117°00′44.7″—117°01′03.3″，北纬30°20′42.4″--30°16′44.3″之间，全长11.8公里，面积145.6hm2。具体坐标为：117°01′03.3″E，30°16′44.3″N（苦菱沟）—117°01′28.8″E，30°17′26.9″N（复兴圩）—117°00′53.1″E，30°18′04.8″N（张家墩）—117°01′47.7″E，30°18′38.7″N（舌甘）—117°00′52.2″E，30°19′47.5″N（白联圩拐）—117°01′52.5″E，30°20′17.6″N（联盟圩）—117°00′44.7″E，30°20′42.4″N（杨峨头）等7个拐点沿河道方向顺次连线所围的水域。</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安徽秋浦河源国家湿地公园</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秋浦河上游区域，包括公信河、演溪河以及鸿凌河部分河段，湿地公园范围包括河道、河床、河滩及其两边50m～1000m不等的范围内，涉及乡镇包括仙寓镇、大演乡和横渡镇，1850 hm2，具体边界范围以《安徽秋浦河源国家湿地公园总体规划》为准。</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平天湖国家湿地公园</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具体边界范围以《安徽</w:t>
            </w:r>
            <w:r>
              <w:rPr>
                <w:rFonts w:hint="eastAsia" w:ascii="Times New Roman" w:hAnsi="Times New Roman" w:eastAsia="仿宋_GB2312" w:cs="Times New Roman"/>
                <w:sz w:val="28"/>
                <w:szCs w:val="28"/>
              </w:rPr>
              <w:t>平天湖</w:t>
            </w:r>
            <w:r>
              <w:rPr>
                <w:rFonts w:ascii="Times New Roman" w:hAnsi="Times New Roman" w:eastAsia="仿宋_GB2312" w:cs="Times New Roman"/>
                <w:sz w:val="28"/>
                <w:szCs w:val="28"/>
              </w:rPr>
              <w:t>国家湿地公园总体规划》为准。</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贵池杏花村省级湿地公园</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具体边界范围以《安徽</w:t>
            </w:r>
            <w:r>
              <w:rPr>
                <w:rFonts w:hint="eastAsia" w:ascii="Times New Roman" w:hAnsi="Times New Roman" w:eastAsia="仿宋_GB2312" w:cs="Times New Roman"/>
                <w:sz w:val="28"/>
                <w:szCs w:val="28"/>
              </w:rPr>
              <w:t>贵池杏花村省级</w:t>
            </w:r>
            <w:r>
              <w:rPr>
                <w:rFonts w:ascii="Times New Roman" w:hAnsi="Times New Roman" w:eastAsia="仿宋_GB2312" w:cs="Times New Roman"/>
                <w:sz w:val="28"/>
                <w:szCs w:val="28"/>
              </w:rPr>
              <w:t>湿地公园总体规划》为准。</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全市生态红线区域内水域滩涂</w:t>
            </w:r>
          </w:p>
          <w:p>
            <w:pPr>
              <w:spacing w:line="440" w:lineRule="exact"/>
              <w:ind w:left="420" w:leftChars="200"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以</w:t>
            </w:r>
            <w:r>
              <w:rPr>
                <w:rFonts w:hint="eastAsia" w:ascii="Times New Roman" w:hAnsi="Times New Roman" w:eastAsia="仿宋_GB2312" w:cs="Times New Roman"/>
                <w:sz w:val="28"/>
                <w:szCs w:val="28"/>
              </w:rPr>
              <w:t>《池州市生态红线分布图》等相关核准文件为准。</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城镇空间区域内现有水域</w:t>
            </w:r>
          </w:p>
          <w:p>
            <w:pPr>
              <w:spacing w:line="440" w:lineRule="exact"/>
              <w:ind w:left="420" w:leftChars="200" w:firstLine="560" w:firstLineChars="200"/>
              <w:rPr>
                <w:rFonts w:ascii="Times New Roman" w:hAnsi="Times New Roman" w:eastAsia="仿宋_GB2312" w:cs="Times New Roman"/>
                <w:sz w:val="28"/>
                <w:szCs w:val="28"/>
              </w:rPr>
            </w:pPr>
            <w:r>
              <w:rPr>
                <w:rFonts w:hint="eastAsia" w:ascii="Times New Roman" w:hAnsi="Times New Roman" w:eastAsia="仿宋" w:cs="Times New Roman"/>
                <w:sz w:val="28"/>
                <w:szCs w:val="28"/>
              </w:rPr>
              <w:t>县（区）、</w:t>
            </w:r>
            <w:r>
              <w:rPr>
                <w:rFonts w:ascii="Times New Roman" w:hAnsi="Times New Roman" w:eastAsia="仿宋" w:cs="Times New Roman"/>
                <w:sz w:val="28"/>
                <w:szCs w:val="28"/>
              </w:rPr>
              <w:t>市</w:t>
            </w:r>
            <w:r>
              <w:rPr>
                <w:rFonts w:hint="eastAsia" w:ascii="Times New Roman" w:hAnsi="Times New Roman" w:eastAsia="仿宋" w:cs="Times New Roman"/>
                <w:sz w:val="28"/>
                <w:szCs w:val="28"/>
              </w:rPr>
              <w:t>级</w:t>
            </w:r>
            <w:r>
              <w:rPr>
                <w:rFonts w:ascii="Times New Roman" w:hAnsi="Times New Roman" w:eastAsia="仿宋" w:cs="Times New Roman"/>
                <w:sz w:val="28"/>
                <w:szCs w:val="28"/>
              </w:rPr>
              <w:t>城市规划空间范围内水域，具体范围以《</w:t>
            </w:r>
            <w:r>
              <w:rPr>
                <w:rFonts w:hint="eastAsia" w:ascii="Times New Roman" w:hAnsi="Times New Roman" w:eastAsia="仿宋" w:cs="Times New Roman"/>
                <w:sz w:val="28"/>
                <w:szCs w:val="28"/>
              </w:rPr>
              <w:t>池州市</w:t>
            </w:r>
            <w:r>
              <w:rPr>
                <w:rFonts w:ascii="Times New Roman" w:hAnsi="Times New Roman" w:eastAsia="仿宋" w:cs="Times New Roman"/>
                <w:sz w:val="28"/>
                <w:szCs w:val="28"/>
              </w:rPr>
              <w:t>空间规划（2017-2030 年）》</w:t>
            </w:r>
            <w:r>
              <w:rPr>
                <w:rFonts w:hint="eastAsia" w:ascii="Times New Roman" w:hAnsi="Times New Roman" w:eastAsia="仿宋" w:cs="Times New Roman"/>
                <w:sz w:val="28"/>
                <w:szCs w:val="28"/>
              </w:rPr>
              <w:t>及各县区城市空间规划</w:t>
            </w:r>
            <w:r>
              <w:rPr>
                <w:rFonts w:ascii="Times New Roman" w:hAnsi="Times New Roman" w:eastAsia="仿宋" w:cs="Times New Roman"/>
                <w:sz w:val="28"/>
                <w:szCs w:val="28"/>
              </w:rPr>
              <w:t>所确定的范围为准</w:t>
            </w:r>
            <w:r>
              <w:rPr>
                <w:rFonts w:hint="eastAsia" w:ascii="Times New Roman" w:hAnsi="Times New Roman" w:eastAsia="仿宋_GB2312" w:cs="Times New Roman"/>
                <w:sz w:val="28"/>
                <w:szCs w:val="28"/>
              </w:rPr>
              <w:t>。</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全市风景名胜区范围内水域滩涂</w:t>
            </w:r>
          </w:p>
          <w:p>
            <w:pPr>
              <w:spacing w:line="440" w:lineRule="exact"/>
              <w:ind w:left="420" w:leftChars="200" w:firstLine="560" w:firstLineChars="200"/>
              <w:rPr>
                <w:rFonts w:ascii="Times New Roman" w:hAnsi="Times New Roman" w:cs="Times New Roman" w:eastAsiaTheme="minorEastAsia"/>
                <w:kern w:val="0"/>
                <w:sz w:val="28"/>
                <w:szCs w:val="28"/>
              </w:rPr>
            </w:pPr>
            <w:r>
              <w:rPr>
                <w:rFonts w:ascii="Times New Roman" w:hAnsi="Times New Roman" w:eastAsia="仿宋_GB2312" w:cs="Times New Roman"/>
                <w:sz w:val="28"/>
                <w:szCs w:val="28"/>
              </w:rPr>
              <w:t>具体范围以《池州全域旅游发展规划(</w:t>
            </w:r>
            <w:r>
              <w:rPr>
                <w:rFonts w:hint="eastAsia" w:ascii="Times New Roman" w:hAnsi="Times New Roman" w:eastAsia="仿宋_GB2312" w:cs="Times New Roman"/>
                <w:sz w:val="28"/>
                <w:szCs w:val="28"/>
              </w:rPr>
              <w:t>2016-2025</w:t>
            </w:r>
            <w:r>
              <w:rPr>
                <w:rFonts w:ascii="Times New Roman" w:hAnsi="Times New Roman" w:eastAsia="仿宋_GB2312" w:cs="Times New Roman"/>
                <w:sz w:val="28"/>
                <w:szCs w:val="28"/>
              </w:rPr>
              <w:t>)》</w:t>
            </w:r>
            <w:r>
              <w:rPr>
                <w:rFonts w:hint="eastAsia" w:ascii="Times New Roman" w:hAnsi="Times New Roman" w:eastAsia="仿宋_GB2312" w:cs="Times New Roman"/>
                <w:sz w:val="28"/>
                <w:szCs w:val="28"/>
              </w:rPr>
              <w:t>等相关核准文件为准。</w:t>
            </w:r>
          </w:p>
        </w:tc>
      </w:tr>
      <w:tr>
        <w:tblPrEx>
          <w:tblCellMar>
            <w:top w:w="0" w:type="dxa"/>
            <w:left w:w="0" w:type="dxa"/>
            <w:bottom w:w="0" w:type="dxa"/>
            <w:right w:w="0" w:type="dxa"/>
          </w:tblCellMar>
        </w:tblPrEx>
        <w:trPr>
          <w:trHeight w:val="834" w:hRule="atLeast"/>
          <w:jc w:val="center"/>
        </w:trPr>
        <w:tc>
          <w:tcPr>
            <w:tcW w:w="709" w:type="dxa"/>
            <w:vMerge w:val="continue"/>
            <w:tcBorders>
              <w:left w:val="single" w:color="auto" w:sz="12"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p>
        </w:tc>
        <w:tc>
          <w:tcPr>
            <w:tcW w:w="1397" w:type="dxa"/>
            <w:vMerge w:val="continue"/>
            <w:tcBorders>
              <w:left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p>
        </w:tc>
        <w:tc>
          <w:tcPr>
            <w:tcW w:w="766" w:type="dxa"/>
            <w:tcBorders>
              <w:top w:val="single" w:color="auto" w:sz="8" w:space="0"/>
              <w:left w:val="single" w:color="auto" w:sz="8" w:space="0"/>
              <w:bottom w:val="nil"/>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2-2</w:t>
            </w:r>
          </w:p>
        </w:tc>
        <w:tc>
          <w:tcPr>
            <w:tcW w:w="17539" w:type="dxa"/>
            <w:gridSpan w:val="3"/>
            <w:tcBorders>
              <w:top w:val="single" w:color="auto" w:sz="8" w:space="0"/>
              <w:left w:val="single" w:color="auto" w:sz="8" w:space="0"/>
              <w:right w:val="single" w:color="auto" w:sz="12" w:space="0"/>
            </w:tcBorders>
            <w:vAlign w:val="center"/>
          </w:tcPr>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全市天然湖泊</w:t>
            </w:r>
          </w:p>
          <w:p>
            <w:pPr>
              <w:spacing w:line="440" w:lineRule="exact"/>
              <w:ind w:left="420" w:leftChars="200"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常水位线以内水域滩涂（禁养区除外）</w:t>
            </w:r>
            <w:r>
              <w:rPr>
                <w:rFonts w:hint="eastAsia" w:ascii="Times New Roman" w:hAnsi="Times New Roman" w:eastAsia="仿宋" w:cs="Times New Roman"/>
                <w:sz w:val="28"/>
                <w:szCs w:val="28"/>
              </w:rPr>
              <w:t>。</w:t>
            </w:r>
          </w:p>
          <w:p>
            <w:pPr>
              <w:numPr>
                <w:ilvl w:val="0"/>
                <w:numId w:val="21"/>
              </w:numPr>
              <w:spacing w:line="440" w:lineRule="exact"/>
              <w:ind w:left="0"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全市中型、小（一）型、小（二）型水库（禁养区除外）</w:t>
            </w:r>
          </w:p>
          <w:p>
            <w:pPr>
              <w:autoSpaceDE w:val="0"/>
              <w:autoSpaceDN w:val="0"/>
              <w:spacing w:line="440" w:lineRule="exact"/>
              <w:ind w:left="210" w:leftChars="100" w:firstLine="560" w:firstLineChars="200"/>
              <w:jc w:val="left"/>
              <w:rPr>
                <w:rFonts w:ascii="Times New Roman" w:hAnsi="Times New Roman" w:cs="Times New Roman" w:eastAsiaTheme="minorEastAsia"/>
                <w:kern w:val="0"/>
                <w:sz w:val="28"/>
                <w:szCs w:val="28"/>
              </w:rPr>
            </w:pPr>
            <w:r>
              <w:rPr>
                <w:rFonts w:ascii="Times New Roman" w:hAnsi="Times New Roman" w:eastAsia="仿宋" w:cs="Times New Roman"/>
                <w:sz w:val="28"/>
                <w:szCs w:val="28"/>
              </w:rPr>
              <w:t>常水位线以内水域滩涂。</w:t>
            </w:r>
          </w:p>
        </w:tc>
      </w:tr>
      <w:tr>
        <w:tblPrEx>
          <w:tblCellMar>
            <w:top w:w="0" w:type="dxa"/>
            <w:left w:w="0" w:type="dxa"/>
            <w:bottom w:w="0" w:type="dxa"/>
            <w:right w:w="0" w:type="dxa"/>
          </w:tblCellMar>
        </w:tblPrEx>
        <w:trPr>
          <w:trHeight w:val="542" w:hRule="atLeast"/>
          <w:jc w:val="center"/>
        </w:trPr>
        <w:tc>
          <w:tcPr>
            <w:tcW w:w="709" w:type="dxa"/>
            <w:vMerge w:val="restart"/>
            <w:tcBorders>
              <w:top w:val="single" w:color="auto" w:sz="4" w:space="0"/>
              <w:left w:val="single" w:color="auto" w:sz="12"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3</w:t>
            </w:r>
          </w:p>
        </w:tc>
        <w:tc>
          <w:tcPr>
            <w:tcW w:w="1397" w:type="dxa"/>
            <w:vMerge w:val="restart"/>
            <w:tcBorders>
              <w:top w:val="single" w:color="auto" w:sz="4" w:space="0"/>
              <w:left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养殖区</w:t>
            </w:r>
          </w:p>
        </w:tc>
        <w:tc>
          <w:tcPr>
            <w:tcW w:w="766" w:type="dxa"/>
            <w:vMerge w:val="restart"/>
            <w:tcBorders>
              <w:top w:val="single" w:color="auto" w:sz="4" w:space="0"/>
              <w:left w:val="single" w:color="auto" w:sz="8" w:space="0"/>
              <w:right w:val="single" w:color="auto" w:sz="8" w:space="0"/>
            </w:tcBorders>
            <w:vAlign w:val="center"/>
          </w:tcPr>
          <w:p>
            <w:pPr>
              <w:autoSpaceDE w:val="0"/>
              <w:autoSpaceDN w:val="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3-2</w:t>
            </w:r>
          </w:p>
        </w:tc>
        <w:tc>
          <w:tcPr>
            <w:tcW w:w="1809" w:type="dxa"/>
            <w:vMerge w:val="restart"/>
            <w:tcBorders>
              <w:top w:val="single" w:color="auto" w:sz="8" w:space="0"/>
              <w:left w:val="single" w:color="auto" w:sz="8" w:space="0"/>
              <w:right w:val="single" w:color="auto" w:sz="8" w:space="0"/>
            </w:tcBorders>
            <w:vAlign w:val="center"/>
          </w:tcPr>
          <w:p>
            <w:pPr>
              <w:autoSpaceDE w:val="0"/>
              <w:autoSpaceDN w:val="0"/>
              <w:ind w:left="280" w:hanging="280" w:hangingChars="10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淡水养殖区</w:t>
            </w:r>
          </w:p>
        </w:tc>
        <w:tc>
          <w:tcPr>
            <w:tcW w:w="1271" w:type="dxa"/>
            <w:tcBorders>
              <w:top w:val="single" w:color="auto" w:sz="8" w:space="0"/>
              <w:left w:val="single" w:color="auto" w:sz="8" w:space="0"/>
              <w:bottom w:val="single" w:color="auto" w:sz="8" w:space="0"/>
              <w:right w:val="single" w:color="auto" w:sz="8" w:space="0"/>
            </w:tcBorders>
            <w:vAlign w:val="center"/>
          </w:tcPr>
          <w:p>
            <w:pPr>
              <w:autoSpaceDE w:val="0"/>
              <w:autoSpaceDN w:val="0"/>
              <w:ind w:left="280" w:hanging="280" w:hangingChars="10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3-2-1</w:t>
            </w:r>
          </w:p>
        </w:tc>
        <w:tc>
          <w:tcPr>
            <w:tcW w:w="14459" w:type="dxa"/>
            <w:tcBorders>
              <w:top w:val="single" w:color="auto" w:sz="8" w:space="0"/>
              <w:left w:val="single" w:color="auto" w:sz="8" w:space="0"/>
              <w:bottom w:val="single" w:color="auto" w:sz="8" w:space="0"/>
              <w:right w:val="single" w:color="auto" w:sz="12" w:space="0"/>
            </w:tcBorders>
            <w:vAlign w:val="center"/>
          </w:tcPr>
          <w:p>
            <w:pPr>
              <w:spacing w:line="600" w:lineRule="exact"/>
              <w:ind w:left="420" w:leftChars="200"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池塘养殖区（含河沟）：全市禁养区、限养区范围以外现有宜渔池塘、河沟等类型水域。</w:t>
            </w:r>
          </w:p>
        </w:tc>
      </w:tr>
      <w:tr>
        <w:tblPrEx>
          <w:tblCellMar>
            <w:top w:w="0" w:type="dxa"/>
            <w:left w:w="0" w:type="dxa"/>
            <w:bottom w:w="0" w:type="dxa"/>
            <w:right w:w="0" w:type="dxa"/>
          </w:tblCellMar>
        </w:tblPrEx>
        <w:trPr>
          <w:trHeight w:val="553" w:hRule="atLeast"/>
          <w:jc w:val="center"/>
        </w:trPr>
        <w:tc>
          <w:tcPr>
            <w:tcW w:w="709" w:type="dxa"/>
            <w:vMerge w:val="continue"/>
            <w:tcBorders>
              <w:left w:val="single" w:color="auto" w:sz="12" w:space="0"/>
              <w:bottom w:val="single" w:color="auto" w:sz="12" w:space="0"/>
              <w:right w:val="single" w:color="auto" w:sz="8" w:space="0"/>
            </w:tcBorders>
            <w:vAlign w:val="center"/>
          </w:tcPr>
          <w:p>
            <w:pPr>
              <w:autoSpaceDE w:val="0"/>
              <w:autoSpaceDN w:val="0"/>
              <w:rPr>
                <w:rFonts w:ascii="Times New Roman" w:hAnsi="Times New Roman" w:cs="Times New Roman" w:eastAsiaTheme="minorEastAsia"/>
                <w:kern w:val="0"/>
                <w:sz w:val="28"/>
                <w:szCs w:val="28"/>
              </w:rPr>
            </w:pPr>
          </w:p>
        </w:tc>
        <w:tc>
          <w:tcPr>
            <w:tcW w:w="1397" w:type="dxa"/>
            <w:vMerge w:val="continue"/>
            <w:tcBorders>
              <w:left w:val="single" w:color="auto" w:sz="8" w:space="0"/>
              <w:bottom w:val="single" w:color="auto" w:sz="12" w:space="0"/>
              <w:right w:val="single" w:color="auto" w:sz="8" w:space="0"/>
            </w:tcBorders>
            <w:vAlign w:val="center"/>
          </w:tcPr>
          <w:p>
            <w:pPr>
              <w:autoSpaceDE w:val="0"/>
              <w:autoSpaceDN w:val="0"/>
              <w:rPr>
                <w:rFonts w:ascii="Times New Roman" w:hAnsi="Times New Roman" w:cs="Times New Roman" w:eastAsiaTheme="minorEastAsia"/>
                <w:kern w:val="0"/>
                <w:sz w:val="28"/>
                <w:szCs w:val="28"/>
              </w:rPr>
            </w:pPr>
          </w:p>
        </w:tc>
        <w:tc>
          <w:tcPr>
            <w:tcW w:w="766" w:type="dxa"/>
            <w:vMerge w:val="continue"/>
            <w:tcBorders>
              <w:left w:val="single" w:color="auto" w:sz="8" w:space="0"/>
              <w:bottom w:val="single" w:color="auto" w:sz="12" w:space="0"/>
              <w:right w:val="single" w:color="auto" w:sz="8" w:space="0"/>
            </w:tcBorders>
            <w:vAlign w:val="center"/>
          </w:tcPr>
          <w:p>
            <w:pPr>
              <w:autoSpaceDE w:val="0"/>
              <w:autoSpaceDN w:val="0"/>
              <w:rPr>
                <w:rFonts w:ascii="Times New Roman" w:hAnsi="Times New Roman" w:cs="Times New Roman" w:eastAsiaTheme="minorEastAsia"/>
                <w:kern w:val="0"/>
                <w:sz w:val="28"/>
                <w:szCs w:val="28"/>
              </w:rPr>
            </w:pPr>
          </w:p>
        </w:tc>
        <w:tc>
          <w:tcPr>
            <w:tcW w:w="1809" w:type="dxa"/>
            <w:vMerge w:val="continue"/>
            <w:tcBorders>
              <w:left w:val="single" w:color="auto" w:sz="8" w:space="0"/>
              <w:bottom w:val="single" w:color="auto" w:sz="12" w:space="0"/>
              <w:right w:val="single" w:color="auto" w:sz="8" w:space="0"/>
            </w:tcBorders>
            <w:vAlign w:val="center"/>
          </w:tcPr>
          <w:p>
            <w:pPr>
              <w:autoSpaceDE w:val="0"/>
              <w:autoSpaceDN w:val="0"/>
              <w:ind w:left="280" w:hanging="280" w:hangingChars="100"/>
              <w:rPr>
                <w:rFonts w:ascii="Times New Roman" w:hAnsi="Times New Roman" w:cs="Times New Roman" w:eastAsiaTheme="minorEastAsia"/>
                <w:kern w:val="0"/>
                <w:sz w:val="28"/>
                <w:szCs w:val="28"/>
              </w:rPr>
            </w:pPr>
          </w:p>
        </w:tc>
        <w:tc>
          <w:tcPr>
            <w:tcW w:w="1271" w:type="dxa"/>
            <w:tcBorders>
              <w:top w:val="single" w:color="auto" w:sz="8" w:space="0"/>
              <w:left w:val="single" w:color="auto" w:sz="8" w:space="0"/>
              <w:bottom w:val="single" w:color="auto" w:sz="12" w:space="0"/>
              <w:right w:val="single" w:color="auto" w:sz="8" w:space="0"/>
            </w:tcBorders>
            <w:vAlign w:val="center"/>
          </w:tcPr>
          <w:p>
            <w:pPr>
              <w:autoSpaceDE w:val="0"/>
              <w:autoSpaceDN w:val="0"/>
              <w:ind w:left="280" w:hanging="280" w:hangingChars="100"/>
              <w:jc w:val="center"/>
              <w:rPr>
                <w:rFonts w:ascii="Times New Roman" w:hAnsi="Times New Roman" w:cs="Times New Roman" w:eastAsiaTheme="minorEastAsia"/>
                <w:kern w:val="0"/>
                <w:sz w:val="28"/>
                <w:szCs w:val="28"/>
              </w:rPr>
            </w:pPr>
            <w:r>
              <w:rPr>
                <w:rFonts w:ascii="Times New Roman" w:hAnsi="Times New Roman" w:cs="Times New Roman" w:eastAsiaTheme="minorEastAsia"/>
                <w:kern w:val="0"/>
                <w:sz w:val="28"/>
                <w:szCs w:val="28"/>
              </w:rPr>
              <w:t>3-2-4</w:t>
            </w:r>
          </w:p>
        </w:tc>
        <w:tc>
          <w:tcPr>
            <w:tcW w:w="14459" w:type="dxa"/>
            <w:tcBorders>
              <w:top w:val="single" w:color="auto" w:sz="8" w:space="0"/>
              <w:left w:val="single" w:color="auto" w:sz="8" w:space="0"/>
              <w:bottom w:val="single" w:color="auto" w:sz="12" w:space="0"/>
              <w:right w:val="single" w:color="auto" w:sz="12" w:space="0"/>
            </w:tcBorders>
            <w:vAlign w:val="center"/>
          </w:tcPr>
          <w:p>
            <w:pPr>
              <w:spacing w:line="600" w:lineRule="exact"/>
              <w:ind w:left="420" w:leftChars="200"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全市宜渔稻田。</w:t>
            </w:r>
          </w:p>
        </w:tc>
      </w:tr>
    </w:tbl>
    <w:p>
      <w:pPr>
        <w:autoSpaceDE w:val="0"/>
        <w:autoSpaceDN w:val="0"/>
        <w:adjustRightInd w:val="0"/>
        <w:ind w:firstLine="408"/>
        <w:jc w:val="left"/>
        <w:rPr>
          <w:rFonts w:ascii="Times New Roman" w:hAnsi="Times New Roman" w:eastAsia="仿宋_GB2312" w:cs="Times New Roman"/>
          <w:kern w:val="0"/>
          <w:szCs w:val="21"/>
        </w:rPr>
        <w:sectPr>
          <w:pgSz w:w="23757" w:h="16783" w:orient="landscape"/>
          <w:pgMar w:top="1803" w:right="1440" w:bottom="1320" w:left="1984" w:header="851" w:footer="992" w:gutter="0"/>
          <w:pgNumType w:fmt="decimal"/>
          <w:cols w:space="425" w:num="1"/>
          <w:docGrid w:type="lines" w:linePitch="312" w:charSpace="0"/>
        </w:sectPr>
      </w:pPr>
    </w:p>
    <w:p>
      <w:pPr>
        <w:autoSpaceDE w:val="0"/>
        <w:autoSpaceDN w:val="0"/>
        <w:adjustRightInd w:val="0"/>
        <w:ind w:firstLine="408"/>
        <w:jc w:val="left"/>
        <w:rPr>
          <w:rFonts w:ascii="Times New Roman" w:hAnsi="Times New Roman" w:eastAsia="仿宋_GB2312" w:cs="Times New Roman"/>
          <w:kern w:val="0"/>
          <w:szCs w:val="21"/>
        </w:rPr>
      </w:pPr>
    </w:p>
    <w:p>
      <w:pPr>
        <w:spacing w:line="600" w:lineRule="exact"/>
        <w:ind w:firstLine="640" w:firstLineChars="200"/>
        <w:rPr>
          <w:rFonts w:ascii="Times New Roman" w:hAnsi="Times New Roman" w:eastAsia="仿宋_GB2312" w:cs="Times New Roman"/>
          <w:sz w:val="32"/>
          <w:szCs w:val="32"/>
        </w:rPr>
      </w:pPr>
    </w:p>
    <w:p>
      <w:pPr>
        <w:rPr>
          <w:rFonts w:ascii="Times New Roman" w:hAnsi="Times New Roman" w:eastAsia="仿宋_GB2312" w:cs="Times New Roman"/>
          <w:sz w:val="32"/>
          <w:szCs w:val="32"/>
        </w:rPr>
      </w:pPr>
    </w:p>
    <w:sectPr>
      <w:type w:val="continuous"/>
      <w:pgSz w:w="23757" w:h="16783" w:orient="landscape"/>
      <w:pgMar w:top="1800" w:right="1440" w:bottom="1800"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6"/>
                  <w:rPr>
                    <w:rFonts w:hint="eastAsia" w:eastAsia="宋体"/>
                    <w:sz w:val="22"/>
                    <w:szCs w:val="36"/>
                    <w:lang w:eastAsia="zh-CN"/>
                  </w:rPr>
                </w:pPr>
                <w:r>
                  <w:rPr>
                    <w:rFonts w:hint="eastAsia"/>
                    <w:sz w:val="22"/>
                    <w:szCs w:val="36"/>
                    <w:lang w:eastAsia="zh-CN"/>
                  </w:rPr>
                  <w:fldChar w:fldCharType="begin"/>
                </w:r>
                <w:r>
                  <w:rPr>
                    <w:rFonts w:hint="eastAsia"/>
                    <w:sz w:val="22"/>
                    <w:szCs w:val="36"/>
                    <w:lang w:eastAsia="zh-CN"/>
                  </w:rPr>
                  <w:instrText xml:space="preserve"> PAGE  \* MERGEFORMAT </w:instrText>
                </w:r>
                <w:r>
                  <w:rPr>
                    <w:rFonts w:hint="eastAsia"/>
                    <w:sz w:val="22"/>
                    <w:szCs w:val="36"/>
                    <w:lang w:eastAsia="zh-CN"/>
                  </w:rPr>
                  <w:fldChar w:fldCharType="separate"/>
                </w:r>
                <w:r>
                  <w:rPr>
                    <w:rFonts w:hint="eastAsia"/>
                    <w:sz w:val="22"/>
                    <w:szCs w:val="36"/>
                    <w:lang w:eastAsia="zh-CN"/>
                  </w:rPr>
                  <w:t>1</w:t>
                </w:r>
                <w:r>
                  <w:rPr>
                    <w:rFonts w:hint="eastAsia"/>
                    <w:sz w:val="22"/>
                    <w:szCs w:val="36"/>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EFA80B"/>
    <w:multiLevelType w:val="multilevel"/>
    <w:tmpl w:val="80EFA80B"/>
    <w:lvl w:ilvl="0" w:tentative="0">
      <w:start w:val="1"/>
      <w:numFmt w:val="chineseCounting"/>
      <w:suff w:val="nothing"/>
      <w:lvlText w:val="%1、"/>
      <w:lvlJc w:val="left"/>
      <w:pPr>
        <w:ind w:firstLine="400"/>
      </w:pPr>
      <w:rPr>
        <w:rFonts w:hint="eastAsia" w:cs="Times New Roman"/>
      </w:rPr>
    </w:lvl>
    <w:lvl w:ilvl="1" w:tentative="0">
      <w:start w:val="1"/>
      <w:numFmt w:val="decimal"/>
      <w:suff w:val="nothing"/>
      <w:lvlText w:val="%2．"/>
      <w:lvlJc w:val="left"/>
      <w:pPr>
        <w:ind w:firstLine="400"/>
      </w:pPr>
      <w:rPr>
        <w:rFonts w:hint="eastAsia" w:cs="Times New Roman"/>
      </w:rPr>
    </w:lvl>
    <w:lvl w:ilvl="2" w:tentative="0">
      <w:start w:val="1"/>
      <w:numFmt w:val="decimal"/>
      <w:suff w:val="nothing"/>
      <w:lvlText w:val="（%3）"/>
      <w:lvlJc w:val="left"/>
      <w:pPr>
        <w:ind w:firstLine="402"/>
      </w:pPr>
      <w:rPr>
        <w:rFonts w:hint="eastAsia" w:cs="Times New Roman"/>
      </w:rPr>
    </w:lvl>
    <w:lvl w:ilvl="3" w:tentative="0">
      <w:start w:val="1"/>
      <w:numFmt w:val="decimalEnclosedCircleChinese"/>
      <w:suff w:val="nothing"/>
      <w:lvlText w:val="%4 "/>
      <w:lvlJc w:val="left"/>
      <w:pPr>
        <w:ind w:firstLine="402"/>
      </w:pPr>
      <w:rPr>
        <w:rFonts w:hint="eastAsia" w:cs="Times New Roman"/>
      </w:rPr>
    </w:lvl>
    <w:lvl w:ilvl="4" w:tentative="0">
      <w:start w:val="1"/>
      <w:numFmt w:val="decimal"/>
      <w:suff w:val="nothing"/>
      <w:lvlText w:val="%5）"/>
      <w:lvlJc w:val="left"/>
      <w:pPr>
        <w:ind w:firstLine="402"/>
      </w:pPr>
      <w:rPr>
        <w:rFonts w:hint="eastAsia" w:cs="Times New Roman"/>
      </w:rPr>
    </w:lvl>
    <w:lvl w:ilvl="5" w:tentative="0">
      <w:start w:val="1"/>
      <w:numFmt w:val="lowerLetter"/>
      <w:suff w:val="nothing"/>
      <w:lvlText w:val="%6．"/>
      <w:lvlJc w:val="left"/>
      <w:pPr>
        <w:ind w:firstLine="402"/>
      </w:pPr>
      <w:rPr>
        <w:rFonts w:hint="eastAsia" w:cs="Times New Roman"/>
      </w:rPr>
    </w:lvl>
    <w:lvl w:ilvl="6" w:tentative="0">
      <w:start w:val="1"/>
      <w:numFmt w:val="lowerLetter"/>
      <w:suff w:val="nothing"/>
      <w:lvlText w:val="%7）"/>
      <w:lvlJc w:val="left"/>
      <w:pPr>
        <w:ind w:firstLine="402"/>
      </w:pPr>
      <w:rPr>
        <w:rFonts w:hint="eastAsia" w:cs="Times New Roman"/>
      </w:rPr>
    </w:lvl>
    <w:lvl w:ilvl="7" w:tentative="0">
      <w:start w:val="1"/>
      <w:numFmt w:val="lowerRoman"/>
      <w:suff w:val="nothing"/>
      <w:lvlText w:val="%8. "/>
      <w:lvlJc w:val="left"/>
      <w:pPr>
        <w:ind w:firstLine="402"/>
      </w:pPr>
      <w:rPr>
        <w:rFonts w:hint="eastAsia" w:cs="Times New Roman"/>
      </w:rPr>
    </w:lvl>
    <w:lvl w:ilvl="8" w:tentative="0">
      <w:start w:val="1"/>
      <w:numFmt w:val="lowerRoman"/>
      <w:suff w:val="nothing"/>
      <w:lvlText w:val="%9）"/>
      <w:lvlJc w:val="left"/>
      <w:pPr>
        <w:ind w:firstLine="402"/>
      </w:pPr>
      <w:rPr>
        <w:rFonts w:hint="eastAsia" w:cs="Times New Roman"/>
      </w:rPr>
    </w:lvl>
  </w:abstractNum>
  <w:abstractNum w:abstractNumId="1">
    <w:nsid w:val="8A527D6E"/>
    <w:multiLevelType w:val="singleLevel"/>
    <w:tmpl w:val="8A527D6E"/>
    <w:lvl w:ilvl="0" w:tentative="0">
      <w:start w:val="4"/>
      <w:numFmt w:val="decimal"/>
      <w:suff w:val="space"/>
      <w:lvlText w:val="%1."/>
      <w:lvlJc w:val="left"/>
    </w:lvl>
  </w:abstractNum>
  <w:abstractNum w:abstractNumId="2">
    <w:nsid w:val="98CF46BC"/>
    <w:multiLevelType w:val="singleLevel"/>
    <w:tmpl w:val="98CF46BC"/>
    <w:lvl w:ilvl="0" w:tentative="0">
      <w:start w:val="1"/>
      <w:numFmt w:val="decimal"/>
      <w:lvlText w:val="(%1)"/>
      <w:lvlJc w:val="left"/>
      <w:pPr>
        <w:ind w:left="425" w:hanging="425"/>
      </w:pPr>
      <w:rPr>
        <w:rFonts w:hint="default"/>
      </w:rPr>
    </w:lvl>
  </w:abstractNum>
  <w:abstractNum w:abstractNumId="3">
    <w:nsid w:val="A195BF10"/>
    <w:multiLevelType w:val="singleLevel"/>
    <w:tmpl w:val="A195BF10"/>
    <w:lvl w:ilvl="0" w:tentative="0">
      <w:start w:val="1"/>
      <w:numFmt w:val="decimal"/>
      <w:lvlText w:val="(%1)"/>
      <w:lvlJc w:val="left"/>
      <w:pPr>
        <w:ind w:left="425" w:hanging="425"/>
      </w:pPr>
      <w:rPr>
        <w:rFonts w:hint="default"/>
      </w:rPr>
    </w:lvl>
  </w:abstractNum>
  <w:abstractNum w:abstractNumId="4">
    <w:nsid w:val="BF6FCA5B"/>
    <w:multiLevelType w:val="singleLevel"/>
    <w:tmpl w:val="BF6FCA5B"/>
    <w:lvl w:ilvl="0" w:tentative="0">
      <w:start w:val="3"/>
      <w:numFmt w:val="decimal"/>
      <w:suff w:val="space"/>
      <w:lvlText w:val="%1."/>
      <w:lvlJc w:val="left"/>
    </w:lvl>
  </w:abstractNum>
  <w:abstractNum w:abstractNumId="5">
    <w:nsid w:val="FDC48F68"/>
    <w:multiLevelType w:val="singleLevel"/>
    <w:tmpl w:val="FDC48F68"/>
    <w:lvl w:ilvl="0" w:tentative="0">
      <w:start w:val="1"/>
      <w:numFmt w:val="decimal"/>
      <w:lvlText w:val="(%1)"/>
      <w:lvlJc w:val="left"/>
      <w:pPr>
        <w:ind w:left="425" w:hanging="425"/>
      </w:pPr>
      <w:rPr>
        <w:rFonts w:hint="default" w:cs="Times New Roman"/>
      </w:rPr>
    </w:lvl>
  </w:abstractNum>
  <w:abstractNum w:abstractNumId="6">
    <w:nsid w:val="0000000B"/>
    <w:multiLevelType w:val="multilevel"/>
    <w:tmpl w:val="0000000B"/>
    <w:lvl w:ilvl="0" w:tentative="0">
      <w:start w:val="1"/>
      <w:numFmt w:val="chineseCounting"/>
      <w:suff w:val="nothing"/>
      <w:lvlText w:val="第%1章　"/>
      <w:lvlJc w:val="left"/>
      <w:pPr>
        <w:tabs>
          <w:tab w:val="left" w:pos="0"/>
        </w:tabs>
        <w:ind w:firstLine="402"/>
      </w:pPr>
      <w:rPr>
        <w:rFonts w:hint="eastAsia" w:cs="Times New Roman"/>
      </w:rPr>
    </w:lvl>
    <w:lvl w:ilvl="1" w:tentative="0">
      <w:start w:val="1"/>
      <w:numFmt w:val="chineseCounting"/>
      <w:pStyle w:val="3"/>
      <w:suff w:val="nothing"/>
      <w:lvlText w:val="第%2节　"/>
      <w:lvlJc w:val="left"/>
      <w:pPr>
        <w:ind w:firstLine="402"/>
      </w:pPr>
      <w:rPr>
        <w:rFonts w:hint="eastAsia" w:ascii="宋体" w:hAnsi="宋体" w:eastAsia="宋体" w:cs="宋体"/>
      </w:rPr>
    </w:lvl>
    <w:lvl w:ilvl="2" w:tentative="0">
      <w:start w:val="1"/>
      <w:numFmt w:val="chineseCounting"/>
      <w:suff w:val="nothing"/>
      <w:lvlText w:val="第%3条　"/>
      <w:lvlJc w:val="left"/>
      <w:pPr>
        <w:ind w:firstLine="402"/>
      </w:pPr>
      <w:rPr>
        <w:rFonts w:hint="eastAsia" w:cs="Times New Roman"/>
      </w:rPr>
    </w:lvl>
    <w:lvl w:ilvl="3" w:tentative="0">
      <w:start w:val="1"/>
      <w:numFmt w:val="chineseCounting"/>
      <w:suff w:val="nothing"/>
      <w:lvlText w:val="（%4）"/>
      <w:lvlJc w:val="left"/>
      <w:pPr>
        <w:ind w:firstLine="402"/>
      </w:pPr>
      <w:rPr>
        <w:rFonts w:hint="eastAsia" w:cs="Times New Roman"/>
      </w:rPr>
    </w:lvl>
    <w:lvl w:ilvl="4" w:tentative="0">
      <w:start w:val="1"/>
      <w:numFmt w:val="decimal"/>
      <w:suff w:val="nothing"/>
      <w:lvlText w:val="%5．"/>
      <w:lvlJc w:val="left"/>
      <w:pPr>
        <w:ind w:firstLine="402"/>
      </w:pPr>
      <w:rPr>
        <w:rFonts w:hint="eastAsia" w:cs="Times New Roman"/>
      </w:rPr>
    </w:lvl>
    <w:lvl w:ilvl="5" w:tentative="0">
      <w:start w:val="1"/>
      <w:numFmt w:val="decimal"/>
      <w:suff w:val="nothing"/>
      <w:lvlText w:val="（%6）"/>
      <w:lvlJc w:val="left"/>
      <w:pPr>
        <w:ind w:firstLine="402"/>
      </w:pPr>
      <w:rPr>
        <w:rFonts w:hint="eastAsia" w:cs="Times New Roman"/>
      </w:rPr>
    </w:lvl>
    <w:lvl w:ilvl="6" w:tentative="0">
      <w:start w:val="1"/>
      <w:numFmt w:val="decimalEnclosedCircleChinese"/>
      <w:suff w:val="nothing"/>
      <w:lvlText w:val="%7 "/>
      <w:lvlJc w:val="left"/>
      <w:pPr>
        <w:ind w:firstLine="402"/>
      </w:pPr>
      <w:rPr>
        <w:rFonts w:hint="eastAsia" w:cs="Times New Roman"/>
      </w:rPr>
    </w:lvl>
    <w:lvl w:ilvl="7" w:tentative="0">
      <w:start w:val="1"/>
      <w:numFmt w:val="decimal"/>
      <w:suff w:val="nothing"/>
      <w:lvlText w:val="%8）"/>
      <w:lvlJc w:val="left"/>
      <w:pPr>
        <w:ind w:firstLine="402"/>
      </w:pPr>
      <w:rPr>
        <w:rFonts w:hint="eastAsia" w:cs="Times New Roman"/>
      </w:rPr>
    </w:lvl>
    <w:lvl w:ilvl="8" w:tentative="0">
      <w:start w:val="1"/>
      <w:numFmt w:val="lowerLetter"/>
      <w:suff w:val="nothing"/>
      <w:lvlText w:val="%9．"/>
      <w:lvlJc w:val="left"/>
      <w:pPr>
        <w:ind w:firstLine="402"/>
      </w:pPr>
      <w:rPr>
        <w:rFonts w:hint="eastAsia" w:cs="Times New Roman"/>
      </w:rPr>
    </w:lvl>
  </w:abstractNum>
  <w:abstractNum w:abstractNumId="7">
    <w:nsid w:val="0000000E"/>
    <w:multiLevelType w:val="multilevel"/>
    <w:tmpl w:val="0000000E"/>
    <w:lvl w:ilvl="0" w:tentative="0">
      <w:start w:val="1"/>
      <w:numFmt w:val="decimal"/>
      <w:lvlText w:val="%1"/>
      <w:lvlJc w:val="left"/>
      <w:pPr>
        <w:ind w:left="425" w:hanging="425"/>
      </w:pPr>
      <w:rPr>
        <w:rFonts w:hint="eastAsia" w:cs="Times New Roman"/>
      </w:rPr>
    </w:lvl>
    <w:lvl w:ilvl="1" w:tentative="0">
      <w:start w:val="1"/>
      <w:numFmt w:val="decimal"/>
      <w:lvlText w:val="%1.%2"/>
      <w:lvlJc w:val="left"/>
      <w:pPr>
        <w:ind w:left="992" w:hanging="567"/>
      </w:pPr>
      <w:rPr>
        <w:rFonts w:hint="eastAsia" w:cs="Times New Roman"/>
      </w:rPr>
    </w:lvl>
    <w:lvl w:ilvl="2" w:tentative="0">
      <w:start w:val="1"/>
      <w:numFmt w:val="chineseCountingThousand"/>
      <w:pStyle w:val="4"/>
      <w:suff w:val="space"/>
      <w:lvlText w:val="第%3条"/>
      <w:lvlJc w:val="left"/>
      <w:pPr>
        <w:ind w:left="1418" w:hanging="851"/>
      </w:pPr>
      <w:rPr>
        <w:rFonts w:hint="eastAsia" w:cs="Times New Roman"/>
      </w:rPr>
    </w:lvl>
    <w:lvl w:ilvl="3" w:tentative="0">
      <w:start w:val="1"/>
      <w:numFmt w:val="decimal"/>
      <w:lvlText w:val="%1.%2.%3.%4"/>
      <w:lvlJc w:val="left"/>
      <w:pPr>
        <w:ind w:left="1984" w:hanging="708"/>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8">
    <w:nsid w:val="0000000F"/>
    <w:multiLevelType w:val="singleLevel"/>
    <w:tmpl w:val="0000000F"/>
    <w:lvl w:ilvl="0" w:tentative="0">
      <w:start w:val="1"/>
      <w:numFmt w:val="decimal"/>
      <w:lvlText w:val="(%1)"/>
      <w:lvlJc w:val="left"/>
      <w:pPr>
        <w:ind w:left="425" w:hanging="425"/>
      </w:pPr>
      <w:rPr>
        <w:rFonts w:hint="default" w:cs="Times New Roman"/>
      </w:rPr>
    </w:lvl>
  </w:abstractNum>
  <w:abstractNum w:abstractNumId="9">
    <w:nsid w:val="00000011"/>
    <w:multiLevelType w:val="singleLevel"/>
    <w:tmpl w:val="00000011"/>
    <w:lvl w:ilvl="0" w:tentative="0">
      <w:start w:val="1"/>
      <w:numFmt w:val="decimal"/>
      <w:lvlText w:val="(%1)"/>
      <w:lvlJc w:val="left"/>
      <w:pPr>
        <w:ind w:left="425" w:hanging="425"/>
      </w:pPr>
      <w:rPr>
        <w:rFonts w:hint="default" w:cs="Times New Roman"/>
      </w:rPr>
    </w:lvl>
  </w:abstractNum>
  <w:abstractNum w:abstractNumId="10">
    <w:nsid w:val="00000015"/>
    <w:multiLevelType w:val="multilevel"/>
    <w:tmpl w:val="00000015"/>
    <w:lvl w:ilvl="0" w:tentative="0">
      <w:start w:val="1"/>
      <w:numFmt w:val="chineseCounting"/>
      <w:pStyle w:val="2"/>
      <w:suff w:val="nothing"/>
      <w:lvlText w:val="第%1章　"/>
      <w:lvlJc w:val="left"/>
      <w:pPr>
        <w:tabs>
          <w:tab w:val="left" w:pos="0"/>
        </w:tabs>
        <w:ind w:firstLine="402"/>
      </w:pPr>
      <w:rPr>
        <w:rFonts w:hint="eastAsia" w:cs="Times New Roman"/>
      </w:rPr>
    </w:lvl>
    <w:lvl w:ilvl="1" w:tentative="0">
      <w:start w:val="1"/>
      <w:numFmt w:val="chineseCounting"/>
      <w:suff w:val="nothing"/>
      <w:lvlText w:val="第%2节　"/>
      <w:lvlJc w:val="left"/>
      <w:pPr>
        <w:ind w:firstLine="402"/>
      </w:pPr>
      <w:rPr>
        <w:rFonts w:hint="eastAsia" w:cs="Times New Roman"/>
      </w:rPr>
    </w:lvl>
    <w:lvl w:ilvl="2" w:tentative="0">
      <w:start w:val="1"/>
      <w:numFmt w:val="chineseCounting"/>
      <w:suff w:val="nothing"/>
      <w:lvlText w:val="第%3条　"/>
      <w:lvlJc w:val="left"/>
      <w:pPr>
        <w:ind w:firstLine="402"/>
      </w:pPr>
      <w:rPr>
        <w:rFonts w:hint="eastAsia" w:cs="Times New Roman"/>
      </w:rPr>
    </w:lvl>
    <w:lvl w:ilvl="3" w:tentative="0">
      <w:start w:val="1"/>
      <w:numFmt w:val="chineseCounting"/>
      <w:suff w:val="nothing"/>
      <w:lvlText w:val="（%4）"/>
      <w:lvlJc w:val="left"/>
      <w:pPr>
        <w:ind w:firstLine="402"/>
      </w:pPr>
      <w:rPr>
        <w:rFonts w:hint="eastAsia" w:cs="Times New Roman"/>
      </w:rPr>
    </w:lvl>
    <w:lvl w:ilvl="4" w:tentative="0">
      <w:start w:val="1"/>
      <w:numFmt w:val="decimal"/>
      <w:suff w:val="nothing"/>
      <w:lvlText w:val="%5．"/>
      <w:lvlJc w:val="left"/>
      <w:pPr>
        <w:ind w:firstLine="402"/>
      </w:pPr>
      <w:rPr>
        <w:rFonts w:hint="eastAsia" w:cs="Times New Roman"/>
      </w:rPr>
    </w:lvl>
    <w:lvl w:ilvl="5" w:tentative="0">
      <w:start w:val="1"/>
      <w:numFmt w:val="decimal"/>
      <w:suff w:val="nothing"/>
      <w:lvlText w:val="（%6）"/>
      <w:lvlJc w:val="left"/>
      <w:pPr>
        <w:ind w:firstLine="402"/>
      </w:pPr>
      <w:rPr>
        <w:rFonts w:hint="eastAsia" w:cs="Times New Roman"/>
      </w:rPr>
    </w:lvl>
    <w:lvl w:ilvl="6" w:tentative="0">
      <w:start w:val="1"/>
      <w:numFmt w:val="decimalEnclosedCircleChinese"/>
      <w:suff w:val="nothing"/>
      <w:lvlText w:val="%7 "/>
      <w:lvlJc w:val="left"/>
      <w:pPr>
        <w:ind w:firstLine="402"/>
      </w:pPr>
      <w:rPr>
        <w:rFonts w:hint="eastAsia" w:cs="Times New Roman"/>
      </w:rPr>
    </w:lvl>
    <w:lvl w:ilvl="7" w:tentative="0">
      <w:start w:val="1"/>
      <w:numFmt w:val="decimal"/>
      <w:suff w:val="nothing"/>
      <w:lvlText w:val="%8）"/>
      <w:lvlJc w:val="left"/>
      <w:pPr>
        <w:ind w:firstLine="402"/>
      </w:pPr>
      <w:rPr>
        <w:rFonts w:hint="eastAsia" w:cs="Times New Roman"/>
      </w:rPr>
    </w:lvl>
    <w:lvl w:ilvl="8" w:tentative="0">
      <w:start w:val="1"/>
      <w:numFmt w:val="lowerLetter"/>
      <w:suff w:val="nothing"/>
      <w:lvlText w:val="%9．"/>
      <w:lvlJc w:val="left"/>
      <w:pPr>
        <w:ind w:firstLine="402"/>
      </w:pPr>
      <w:rPr>
        <w:rFonts w:hint="eastAsia" w:cs="Times New Roman"/>
      </w:rPr>
    </w:lvl>
  </w:abstractNum>
  <w:abstractNum w:abstractNumId="11">
    <w:nsid w:val="00000016"/>
    <w:multiLevelType w:val="multilevel"/>
    <w:tmpl w:val="00000016"/>
    <w:lvl w:ilvl="0" w:tentative="0">
      <w:start w:val="1"/>
      <w:numFmt w:val="decimal"/>
      <w:lvlText w:val="(%1)"/>
      <w:lvlJc w:val="left"/>
      <w:pPr>
        <w:ind w:left="1060" w:hanging="420"/>
      </w:pPr>
      <w:rPr>
        <w:rFonts w:hint="default" w:ascii="宋体" w:hAnsi="宋体" w:eastAsia="宋体" w:cs="宋体"/>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12">
    <w:nsid w:val="00000017"/>
    <w:multiLevelType w:val="singleLevel"/>
    <w:tmpl w:val="00000017"/>
    <w:lvl w:ilvl="0" w:tentative="0">
      <w:start w:val="1"/>
      <w:numFmt w:val="decimal"/>
      <w:lvlText w:val="(%1)"/>
      <w:lvlJc w:val="left"/>
      <w:pPr>
        <w:ind w:left="425" w:hanging="425"/>
      </w:pPr>
      <w:rPr>
        <w:rFonts w:hint="default" w:cs="Times New Roman"/>
      </w:rPr>
    </w:lvl>
  </w:abstractNum>
  <w:abstractNum w:abstractNumId="13">
    <w:nsid w:val="03083951"/>
    <w:multiLevelType w:val="singleLevel"/>
    <w:tmpl w:val="03083951"/>
    <w:lvl w:ilvl="0" w:tentative="0">
      <w:start w:val="1"/>
      <w:numFmt w:val="decimal"/>
      <w:lvlText w:val="(%1)"/>
      <w:lvlJc w:val="left"/>
      <w:pPr>
        <w:ind w:left="425" w:hanging="425"/>
      </w:pPr>
      <w:rPr>
        <w:rFonts w:hint="default"/>
      </w:rPr>
    </w:lvl>
  </w:abstractNum>
  <w:abstractNum w:abstractNumId="14">
    <w:nsid w:val="16C6EF4F"/>
    <w:multiLevelType w:val="singleLevel"/>
    <w:tmpl w:val="16C6EF4F"/>
    <w:lvl w:ilvl="0" w:tentative="0">
      <w:start w:val="1"/>
      <w:numFmt w:val="decimal"/>
      <w:lvlText w:val="(%1)"/>
      <w:lvlJc w:val="left"/>
      <w:pPr>
        <w:ind w:left="425" w:hanging="425"/>
      </w:pPr>
      <w:rPr>
        <w:rFonts w:hint="default" w:cs="Times New Roman"/>
      </w:rPr>
    </w:lvl>
  </w:abstractNum>
  <w:abstractNum w:abstractNumId="15">
    <w:nsid w:val="1BC41D38"/>
    <w:multiLevelType w:val="singleLevel"/>
    <w:tmpl w:val="1BC41D38"/>
    <w:lvl w:ilvl="0" w:tentative="0">
      <w:start w:val="1"/>
      <w:numFmt w:val="decimal"/>
      <w:lvlText w:val="(%1)"/>
      <w:lvlJc w:val="left"/>
      <w:pPr>
        <w:ind w:left="425" w:hanging="425"/>
      </w:pPr>
      <w:rPr>
        <w:rFonts w:hint="default" w:cs="Times New Roman"/>
      </w:rPr>
    </w:lvl>
  </w:abstractNum>
  <w:abstractNum w:abstractNumId="16">
    <w:nsid w:val="29315A75"/>
    <w:multiLevelType w:val="multilevel"/>
    <w:tmpl w:val="29315A75"/>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7">
    <w:nsid w:val="563DEE2A"/>
    <w:multiLevelType w:val="singleLevel"/>
    <w:tmpl w:val="563DEE2A"/>
    <w:lvl w:ilvl="0" w:tentative="0">
      <w:start w:val="1"/>
      <w:numFmt w:val="decimal"/>
      <w:lvlText w:val="(%1)"/>
      <w:lvlJc w:val="left"/>
      <w:pPr>
        <w:ind w:left="425" w:hanging="425"/>
      </w:pPr>
      <w:rPr>
        <w:rFonts w:hint="default" w:cs="Times New Roman"/>
      </w:rPr>
    </w:lvl>
  </w:abstractNum>
  <w:abstractNum w:abstractNumId="18">
    <w:nsid w:val="6514F6CF"/>
    <w:multiLevelType w:val="multilevel"/>
    <w:tmpl w:val="6514F6CF"/>
    <w:lvl w:ilvl="0" w:tentative="0">
      <w:start w:val="1"/>
      <w:numFmt w:val="chineseCounting"/>
      <w:suff w:val="nothing"/>
      <w:lvlText w:val="%1、"/>
      <w:lvlJc w:val="left"/>
      <w:pPr>
        <w:ind w:firstLine="400"/>
      </w:pPr>
      <w:rPr>
        <w:rFonts w:hint="eastAsia" w:cs="Times New Roman"/>
      </w:rPr>
    </w:lvl>
    <w:lvl w:ilvl="1" w:tentative="0">
      <w:start w:val="1"/>
      <w:numFmt w:val="decimal"/>
      <w:suff w:val="nothing"/>
      <w:lvlText w:val="%2．"/>
      <w:lvlJc w:val="left"/>
      <w:pPr>
        <w:ind w:firstLine="400"/>
      </w:pPr>
      <w:rPr>
        <w:rFonts w:hint="eastAsia" w:cs="Times New Roman"/>
      </w:rPr>
    </w:lvl>
    <w:lvl w:ilvl="2" w:tentative="0">
      <w:start w:val="1"/>
      <w:numFmt w:val="decimal"/>
      <w:suff w:val="nothing"/>
      <w:lvlText w:val="（%3）"/>
      <w:lvlJc w:val="left"/>
      <w:pPr>
        <w:ind w:firstLine="402"/>
      </w:pPr>
      <w:rPr>
        <w:rFonts w:hint="eastAsia" w:cs="Times New Roman"/>
      </w:rPr>
    </w:lvl>
    <w:lvl w:ilvl="3" w:tentative="0">
      <w:start w:val="1"/>
      <w:numFmt w:val="decimalEnclosedCircleChinese"/>
      <w:suff w:val="nothing"/>
      <w:lvlText w:val="%4 "/>
      <w:lvlJc w:val="left"/>
      <w:pPr>
        <w:ind w:firstLine="402"/>
      </w:pPr>
      <w:rPr>
        <w:rFonts w:hint="eastAsia" w:cs="Times New Roman"/>
      </w:rPr>
    </w:lvl>
    <w:lvl w:ilvl="4" w:tentative="0">
      <w:start w:val="1"/>
      <w:numFmt w:val="decimal"/>
      <w:suff w:val="nothing"/>
      <w:lvlText w:val="%5）"/>
      <w:lvlJc w:val="left"/>
      <w:pPr>
        <w:ind w:firstLine="402"/>
      </w:pPr>
      <w:rPr>
        <w:rFonts w:hint="eastAsia" w:cs="Times New Roman"/>
      </w:rPr>
    </w:lvl>
    <w:lvl w:ilvl="5" w:tentative="0">
      <w:start w:val="1"/>
      <w:numFmt w:val="lowerLetter"/>
      <w:suff w:val="nothing"/>
      <w:lvlText w:val="%6．"/>
      <w:lvlJc w:val="left"/>
      <w:pPr>
        <w:ind w:firstLine="402"/>
      </w:pPr>
      <w:rPr>
        <w:rFonts w:hint="eastAsia" w:cs="Times New Roman"/>
      </w:rPr>
    </w:lvl>
    <w:lvl w:ilvl="6" w:tentative="0">
      <w:start w:val="1"/>
      <w:numFmt w:val="lowerLetter"/>
      <w:suff w:val="nothing"/>
      <w:lvlText w:val="%7）"/>
      <w:lvlJc w:val="left"/>
      <w:pPr>
        <w:ind w:firstLine="402"/>
      </w:pPr>
      <w:rPr>
        <w:rFonts w:hint="eastAsia" w:cs="Times New Roman"/>
      </w:rPr>
    </w:lvl>
    <w:lvl w:ilvl="7" w:tentative="0">
      <w:start w:val="1"/>
      <w:numFmt w:val="lowerRoman"/>
      <w:suff w:val="nothing"/>
      <w:lvlText w:val="%8. "/>
      <w:lvlJc w:val="left"/>
      <w:pPr>
        <w:ind w:firstLine="402"/>
      </w:pPr>
      <w:rPr>
        <w:rFonts w:hint="eastAsia" w:cs="Times New Roman"/>
      </w:rPr>
    </w:lvl>
    <w:lvl w:ilvl="8" w:tentative="0">
      <w:start w:val="1"/>
      <w:numFmt w:val="lowerRoman"/>
      <w:suff w:val="nothing"/>
      <w:lvlText w:val="%9）"/>
      <w:lvlJc w:val="left"/>
      <w:pPr>
        <w:ind w:firstLine="402"/>
      </w:pPr>
      <w:rPr>
        <w:rFonts w:hint="eastAsia" w:cs="Times New Roman"/>
      </w:rPr>
    </w:lvl>
  </w:abstractNum>
  <w:abstractNum w:abstractNumId="19">
    <w:nsid w:val="74695659"/>
    <w:multiLevelType w:val="singleLevel"/>
    <w:tmpl w:val="74695659"/>
    <w:lvl w:ilvl="0" w:tentative="0">
      <w:start w:val="1"/>
      <w:numFmt w:val="decimal"/>
      <w:lvlText w:val="(%1)"/>
      <w:lvlJc w:val="left"/>
      <w:pPr>
        <w:tabs>
          <w:tab w:val="left" w:pos="312"/>
        </w:tabs>
      </w:pPr>
    </w:lvl>
  </w:abstractNum>
  <w:abstractNum w:abstractNumId="20">
    <w:nsid w:val="7CB2602F"/>
    <w:multiLevelType w:val="singleLevel"/>
    <w:tmpl w:val="7CB2602F"/>
    <w:lvl w:ilvl="0" w:tentative="0">
      <w:start w:val="1"/>
      <w:numFmt w:val="decimal"/>
      <w:lvlText w:val="(%1)"/>
      <w:lvlJc w:val="left"/>
      <w:pPr>
        <w:ind w:left="425" w:hanging="425"/>
      </w:pPr>
      <w:rPr>
        <w:rFonts w:hint="default" w:cs="Times New Roman"/>
      </w:rPr>
    </w:lvl>
  </w:abstractNum>
  <w:num w:numId="1">
    <w:abstractNumId w:val="10"/>
  </w:num>
  <w:num w:numId="2">
    <w:abstractNumId w:val="6"/>
  </w:num>
  <w:num w:numId="3">
    <w:abstractNumId w:val="7"/>
  </w:num>
  <w:num w:numId="4">
    <w:abstractNumId w:val="9"/>
  </w:num>
  <w:num w:numId="5">
    <w:abstractNumId w:val="4"/>
  </w:num>
  <w:num w:numId="6">
    <w:abstractNumId w:val="11"/>
  </w:num>
  <w:num w:numId="7">
    <w:abstractNumId w:val="16"/>
  </w:num>
  <w:num w:numId="8">
    <w:abstractNumId w:val="2"/>
  </w:num>
  <w:num w:numId="9">
    <w:abstractNumId w:val="12"/>
  </w:num>
  <w:num w:numId="10">
    <w:abstractNumId w:val="8"/>
  </w:num>
  <w:num w:numId="11">
    <w:abstractNumId w:val="18"/>
  </w:num>
  <w:num w:numId="12">
    <w:abstractNumId w:val="15"/>
  </w:num>
  <w:num w:numId="13">
    <w:abstractNumId w:val="14"/>
  </w:num>
  <w:num w:numId="14">
    <w:abstractNumId w:val="19"/>
  </w:num>
  <w:num w:numId="15">
    <w:abstractNumId w:val="0"/>
  </w:num>
  <w:num w:numId="16">
    <w:abstractNumId w:val="17"/>
  </w:num>
  <w:num w:numId="17">
    <w:abstractNumId w:val="3"/>
  </w:num>
  <w:num w:numId="18">
    <w:abstractNumId w:val="13"/>
  </w:num>
  <w:num w:numId="19">
    <w:abstractNumId w:val="1"/>
  </w:num>
  <w:num w:numId="20">
    <w:abstractNumId w:val="2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I2MDE1M2Y5YTlmYzEyMmEwMzcxMDc5OGMzMzIzNzQifQ=="/>
  </w:docVars>
  <w:rsids>
    <w:rsidRoot w:val="6B216BE1"/>
    <w:rsid w:val="0075198F"/>
    <w:rsid w:val="00A957FE"/>
    <w:rsid w:val="00C961F3"/>
    <w:rsid w:val="00E708D3"/>
    <w:rsid w:val="29484840"/>
    <w:rsid w:val="394308D7"/>
    <w:rsid w:val="510548DF"/>
    <w:rsid w:val="550C587B"/>
    <w:rsid w:val="60EA4F17"/>
    <w:rsid w:val="64A07B14"/>
    <w:rsid w:val="67960C5E"/>
    <w:rsid w:val="6B216B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99"/>
    <w:pPr>
      <w:keepNext/>
      <w:keepLines/>
      <w:numPr>
        <w:ilvl w:val="0"/>
        <w:numId w:val="1"/>
      </w:numPr>
      <w:spacing w:before="340" w:after="330" w:line="576" w:lineRule="auto"/>
      <w:ind w:firstLine="0"/>
      <w:jc w:val="center"/>
      <w:outlineLvl w:val="0"/>
    </w:pPr>
    <w:rPr>
      <w:rFonts w:ascii="宋体" w:hAnsi="宋体"/>
      <w:b/>
      <w:kern w:val="44"/>
      <w:sz w:val="36"/>
    </w:rPr>
  </w:style>
  <w:style w:type="paragraph" w:styleId="3">
    <w:name w:val="heading 2"/>
    <w:basedOn w:val="1"/>
    <w:next w:val="1"/>
    <w:qFormat/>
    <w:uiPriority w:val="99"/>
    <w:pPr>
      <w:keepNext/>
      <w:keepLines/>
      <w:numPr>
        <w:ilvl w:val="1"/>
        <w:numId w:val="2"/>
      </w:numPr>
      <w:tabs>
        <w:tab w:val="left" w:pos="0"/>
      </w:tabs>
      <w:spacing w:before="260" w:after="260" w:line="360" w:lineRule="auto"/>
      <w:ind w:firstLine="880" w:firstLineChars="200"/>
      <w:outlineLvl w:val="1"/>
    </w:pPr>
    <w:rPr>
      <w:rFonts w:ascii="Arial" w:hAnsi="Arial"/>
      <w:b/>
      <w:sz w:val="32"/>
    </w:rPr>
  </w:style>
  <w:style w:type="paragraph" w:styleId="4">
    <w:name w:val="heading 3"/>
    <w:basedOn w:val="1"/>
    <w:next w:val="1"/>
    <w:qFormat/>
    <w:uiPriority w:val="99"/>
    <w:pPr>
      <w:keepNext/>
      <w:keepLines/>
      <w:numPr>
        <w:ilvl w:val="2"/>
        <w:numId w:val="3"/>
      </w:numPr>
      <w:spacing w:before="260" w:after="260" w:line="413" w:lineRule="auto"/>
      <w:outlineLvl w:val="2"/>
    </w:pPr>
    <w:rPr>
      <w:rFonts w:eastAsia="仿宋" w:cs="仿宋"/>
      <w:b/>
      <w:sz w:val="30"/>
      <w:szCs w:val="30"/>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99"/>
    <w:pPr>
      <w:ind w:left="840" w:leftChars="400"/>
    </w:pPr>
  </w:style>
  <w:style w:type="paragraph" w:styleId="6">
    <w:name w:val="footer"/>
    <w:basedOn w:val="1"/>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99"/>
  </w:style>
  <w:style w:type="paragraph" w:styleId="9">
    <w:name w:val="toc 2"/>
    <w:basedOn w:val="1"/>
    <w:next w:val="1"/>
    <w:qFormat/>
    <w:uiPriority w:val="99"/>
    <w:pPr>
      <w:ind w:left="420" w:leftChars="200"/>
    </w:pPr>
  </w:style>
  <w:style w:type="paragraph" w:customStyle="1" w:styleId="12">
    <w:name w:val="List Paragraph1"/>
    <w:basedOn w:val="1"/>
    <w:qFormat/>
    <w:uiPriority w:val="99"/>
    <w:pPr>
      <w:ind w:firstLine="420" w:firstLineChars="200"/>
    </w:pPr>
  </w:style>
  <w:style w:type="paragraph" w:customStyle="1" w:styleId="13">
    <w:name w:val="普通正文"/>
    <w:basedOn w:val="1"/>
    <w:qFormat/>
    <w:uiPriority w:val="0"/>
    <w:pPr>
      <w:widowControl/>
      <w:ind w:firstLine="420"/>
    </w:pPr>
    <w:rPr>
      <w:rFonts w:ascii="宋体" w:hAnsi="宋体"/>
      <w:kern w:val="21"/>
      <w:sz w:val="22"/>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21631</Words>
  <Characters>24617</Characters>
  <Lines>189</Lines>
  <Paragraphs>53</Paragraphs>
  <TotalTime>1</TotalTime>
  <ScaleCrop>false</ScaleCrop>
  <LinksUpToDate>false</LinksUpToDate>
  <CharactersWithSpaces>24875</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2022-09-26T09:18:00Z</dcterms:created>
  <dc:creator>小明</dc:creator>
  <cp:lastModifiedBy>Administrator</cp:lastModifiedBy>
  <dcterms:modified xsi:type="dcterms:W3CDTF">2022-10-13T02:54:00Z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2B39D0D835CC48B8A3E84559ABF73F77</vt:lpwstr>
  </property>
</Properties>
</file>